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2409" w:firstLineChars="750"/>
        <w:rPr>
          <w:b/>
          <w:bCs/>
          <w:sz w:val="32"/>
        </w:rPr>
      </w:pPr>
    </w:p>
    <w:p>
      <w:pPr>
        <w:pStyle w:val="26"/>
        <w:ind w:firstLine="0"/>
        <w:jc w:val="center"/>
        <w:rPr>
          <w:b/>
          <w:bCs/>
        </w:rPr>
      </w:pPr>
      <w:r>
        <w:rPr>
          <w:rFonts w:hint="eastAsia"/>
          <w:b/>
          <w:bCs/>
          <w:sz w:val="32"/>
        </w:rPr>
        <w:t>项目名称：</w:t>
      </w:r>
      <w:r>
        <w:rPr>
          <w:rFonts w:hint="eastAsia"/>
          <w:b/>
          <w:bCs/>
        </w:rPr>
        <w:t>小型台式高速离心机、超低温冰箱等一批设备购置项目</w:t>
      </w:r>
    </w:p>
    <w:p>
      <w:pPr>
        <w:pStyle w:val="26"/>
        <w:jc w:val="center"/>
        <w:rPr>
          <w:rFonts w:hint="default" w:eastAsia="宋体"/>
          <w:b/>
          <w:bCs/>
          <w:color w:val="FF0000"/>
          <w:sz w:val="32"/>
          <w:highlight w:val="none"/>
          <w:lang w:val="en-US" w:eastAsia="zh-CN"/>
        </w:rPr>
      </w:pPr>
      <w:r>
        <w:rPr>
          <w:rFonts w:hint="eastAsia"/>
          <w:b/>
          <w:bCs/>
          <w:sz w:val="32"/>
        </w:rPr>
        <w:t>项目编号：</w:t>
      </w:r>
      <w:r>
        <w:rPr>
          <w:rFonts w:hint="eastAsia"/>
          <w:b/>
          <w:bCs/>
          <w:sz w:val="32"/>
          <w:highlight w:val="none"/>
        </w:rPr>
        <w:t>NJMUZB30120190</w:t>
      </w:r>
      <w:r>
        <w:rPr>
          <w:rFonts w:hint="eastAsia"/>
          <w:b/>
          <w:bCs/>
          <w:sz w:val="32"/>
          <w:highlight w:val="none"/>
          <w:lang w:val="en-US" w:eastAsia="zh-CN"/>
        </w:rPr>
        <w:t>41</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p>
    <w:p>
      <w:pPr>
        <w:pStyle w:val="26"/>
        <w:ind w:firstLine="0"/>
        <w:jc w:val="center"/>
        <w:rPr>
          <w:b/>
          <w:bCs/>
          <w:sz w:val="32"/>
        </w:rPr>
      </w:pPr>
      <w:r>
        <w:rPr>
          <w:rFonts w:hint="eastAsia"/>
          <w:b/>
          <w:bCs/>
          <w:sz w:val="32"/>
        </w:rPr>
        <w:t>南京医科大学</w:t>
      </w:r>
      <w:r>
        <w:br w:type="page"/>
      </w:r>
      <w:bookmarkStart w:id="0" w:name="_Toc517190880"/>
      <w:bookmarkStart w:id="1" w:name="_Toc120614210"/>
      <w:bookmarkStart w:id="2" w:name="_Toc513029200"/>
      <w:bookmarkStart w:id="3" w:name="_Toc16938516"/>
      <w:bookmarkStart w:id="4" w:name="_Toc20823272"/>
      <w:bookmarkStart w:id="5" w:name="_Toc479757206"/>
      <w:bookmarkStart w:id="6" w:name="_Toc523127445"/>
      <w:r>
        <w:rPr>
          <w:rFonts w:hint="eastAsia" w:ascii="黑体" w:hAnsi="黑体" w:eastAsia="黑体"/>
          <w:b/>
          <w:sz w:val="44"/>
          <w:szCs w:val="28"/>
        </w:rPr>
        <w:t>目  录</w:t>
      </w:r>
      <w:bookmarkEnd w:id="0"/>
    </w:p>
    <w:p>
      <w:pPr>
        <w:pStyle w:val="13"/>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20"/>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20"/>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20"/>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20"/>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20"/>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20"/>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3"/>
        <w:tabs>
          <w:tab w:val="right" w:leader="dot" w:pos="8296"/>
        </w:tabs>
        <w:spacing w:line="360" w:lineRule="auto"/>
      </w:pPr>
      <w:r>
        <w:rPr>
          <w:rFonts w:asciiTheme="minorEastAsia" w:hAnsiTheme="minorEastAsia" w:eastAsiaTheme="minorEastAsia"/>
          <w:sz w:val="40"/>
          <w:szCs w:val="28"/>
        </w:rPr>
        <w:fldChar w:fldCharType="end"/>
      </w:r>
      <w:r>
        <w:rPr>
          <w:rFonts w:hint="eastAsia"/>
          <w:sz w:val="24"/>
          <w:szCs w:val="24"/>
        </w:rPr>
        <w:t>第六章拟签订的合同文本</w:t>
      </w:r>
      <w:r>
        <w:tab/>
      </w:r>
      <w:r>
        <w:rPr>
          <w:rFonts w:hint="eastAsia"/>
          <w:sz w:val="24"/>
        </w:rPr>
        <w:t>32</w:t>
      </w:r>
    </w:p>
    <w:p>
      <w:pPr>
        <w:spacing w:line="360" w:lineRule="auto"/>
        <w:jc w:val="center"/>
        <w:outlineLvl w:val="0"/>
        <w:rPr>
          <w:rFonts w:ascii="Calibri" w:hAnsi="Calibri" w:eastAsia="宋体" w:cs="Times New Roman"/>
          <w:b/>
          <w:bCs/>
          <w:caps/>
          <w:kern w:val="2"/>
          <w:sz w:val="20"/>
          <w:szCs w:val="20"/>
        </w:rPr>
      </w:pP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pPr>
        <w:spacing w:beforeLines="50" w:afterLines="50" w:line="270" w:lineRule="exact"/>
        <w:ind w:firstLine="0" w:firstLineChars="0"/>
        <w:rPr>
          <w:rFonts w:asciiTheme="minorEastAsia" w:hAnsiTheme="minorEastAsia" w:eastAsiaTheme="minorEastAsia"/>
          <w:sz w:val="25"/>
          <w:szCs w:val="25"/>
        </w:rPr>
      </w:pPr>
      <w:r>
        <w:rPr>
          <w:rFonts w:hint="eastAsia"/>
          <w:lang w:val="en-US" w:eastAsia="zh-CN"/>
        </w:rPr>
        <w:t xml:space="preserve">        </w:t>
      </w:r>
      <w:bookmarkEnd w:id="2"/>
      <w:bookmarkEnd w:id="3"/>
      <w:bookmarkEnd w:id="4"/>
      <w:bookmarkEnd w:id="5"/>
      <w:bookmarkEnd w:id="6"/>
      <w:bookmarkStart w:id="8" w:name="_Toc513029242"/>
      <w:bookmarkStart w:id="9" w:name="_Toc20823314"/>
      <w:bookmarkStart w:id="10" w:name="OLE_LINK1"/>
      <w:bookmarkStart w:id="11" w:name="_Toc120614221"/>
      <w:bookmarkStart w:id="12" w:name="_Toc16938558"/>
      <w:bookmarkStart w:id="13" w:name="_Toc444669970"/>
      <w:bookmarkStart w:id="14" w:name="_Toc120614211"/>
      <w:bookmarkStart w:id="15" w:name="OLE_LINK2"/>
      <w:bookmarkStart w:id="16" w:name="_Toc479757207"/>
      <w:r>
        <w:rPr>
          <w:rFonts w:hint="eastAsia" w:asciiTheme="minorEastAsia" w:hAnsiTheme="minorEastAsia" w:eastAsiaTheme="minorEastAsia"/>
          <w:sz w:val="25"/>
          <w:szCs w:val="25"/>
        </w:rPr>
        <w:t>南京医科大学就</w:t>
      </w:r>
      <w:r>
        <w:rPr>
          <w:rFonts w:hint="eastAsia" w:asciiTheme="minorEastAsia" w:hAnsiTheme="minorEastAsia" w:eastAsiaTheme="minorEastAsia"/>
          <w:sz w:val="25"/>
          <w:szCs w:val="25"/>
          <w:u w:val="single"/>
        </w:rPr>
        <w:t>小型台式高速离心机、</w:t>
      </w:r>
      <w:r>
        <w:rPr>
          <w:rFonts w:hint="eastAsia" w:asciiTheme="minorEastAsia" w:hAnsiTheme="minorEastAsia" w:eastAsiaTheme="minorEastAsia"/>
          <w:b w:val="0"/>
          <w:bCs w:val="0"/>
          <w:sz w:val="25"/>
          <w:szCs w:val="25"/>
          <w:u w:val="single"/>
        </w:rPr>
        <w:t>超低温冰箱</w:t>
      </w:r>
      <w:r>
        <w:rPr>
          <w:rFonts w:hint="eastAsia" w:asciiTheme="minorEastAsia" w:hAnsiTheme="minorEastAsia" w:eastAsiaTheme="minorEastAsia"/>
          <w:sz w:val="25"/>
          <w:szCs w:val="25"/>
          <w:u w:val="single"/>
        </w:rPr>
        <w:t>等一批设备</w:t>
      </w:r>
      <w:r>
        <w:rPr>
          <w:rFonts w:hint="eastAsia" w:asciiTheme="minorEastAsia" w:hAnsiTheme="minorEastAsia" w:eastAsiaTheme="minorEastAsia"/>
          <w:sz w:val="25"/>
          <w:szCs w:val="25"/>
        </w:rPr>
        <w:t>采购项目公开招标，相应资金已落实，欢迎符合招标公告资质要求的供应商前来投标。</w:t>
      </w:r>
    </w:p>
    <w:p>
      <w:pPr>
        <w:spacing w:beforeLines="50" w:afterLines="50" w:line="270" w:lineRule="exact"/>
        <w:ind w:firstLine="502" w:firstLineChars="200"/>
        <w:rPr>
          <w:rFonts w:asciiTheme="minorEastAsia" w:hAnsiTheme="minorEastAsia" w:eastAsiaTheme="minorEastAsia"/>
          <w:b/>
          <w:sz w:val="25"/>
          <w:szCs w:val="25"/>
        </w:rPr>
      </w:pPr>
      <w:r>
        <w:rPr>
          <w:rFonts w:hint="eastAsia" w:asciiTheme="minorEastAsia" w:hAnsiTheme="minorEastAsia" w:eastAsiaTheme="minorEastAsia"/>
          <w:b/>
          <w:sz w:val="25"/>
          <w:szCs w:val="25"/>
        </w:rPr>
        <w:t>一、采购项目名称及编号</w:t>
      </w:r>
    </w:p>
    <w:p>
      <w:pPr>
        <w:spacing w:beforeLines="50" w:afterLines="50" w:line="270" w:lineRule="exact"/>
        <w:ind w:left="559" w:leftChars="254"/>
        <w:rPr>
          <w:rFonts w:hint="eastAsia" w:ascii="宋体" w:hAnsi="宋体" w:eastAsia="宋体" w:cs="宋体"/>
          <w:color w:val="0000FF"/>
          <w:sz w:val="25"/>
          <w:szCs w:val="25"/>
        </w:rPr>
      </w:pPr>
      <w:r>
        <w:rPr>
          <w:rFonts w:hint="eastAsia" w:asciiTheme="minorEastAsia" w:hAnsiTheme="minorEastAsia" w:eastAsiaTheme="minorEastAsia"/>
          <w:sz w:val="25"/>
          <w:szCs w:val="25"/>
        </w:rPr>
        <w:t>（一）采购项目名称：</w:t>
      </w:r>
      <w:r>
        <w:rPr>
          <w:rFonts w:hint="eastAsia" w:ascii="宋体" w:hAnsi="宋体" w:eastAsia="宋体" w:cs="宋体"/>
          <w:b w:val="0"/>
          <w:bCs w:val="0"/>
          <w:sz w:val="25"/>
          <w:szCs w:val="25"/>
        </w:rPr>
        <w:t>小型台式高速离心机、超低温冰箱等一批设备购置项目</w:t>
      </w:r>
    </w:p>
    <w:p>
      <w:pPr>
        <w:spacing w:beforeLines="50" w:afterLines="50" w:line="270" w:lineRule="exact"/>
        <w:ind w:left="559" w:leftChars="254"/>
        <w:rPr>
          <w:rFonts w:hint="default" w:asciiTheme="minorEastAsia" w:hAnsiTheme="minorEastAsia" w:eastAsiaTheme="minorEastAsia"/>
          <w:sz w:val="25"/>
          <w:szCs w:val="25"/>
          <w:highlight w:val="yellow"/>
          <w:lang w:val="en-US" w:eastAsia="zh-CN"/>
        </w:rPr>
      </w:pPr>
      <w:r>
        <w:rPr>
          <w:rFonts w:hint="eastAsia" w:asciiTheme="minorEastAsia" w:hAnsiTheme="minorEastAsia" w:eastAsiaTheme="minorEastAsia"/>
          <w:sz w:val="25"/>
          <w:szCs w:val="25"/>
        </w:rPr>
        <w:t>（二）采购项目编号：</w:t>
      </w:r>
      <w:r>
        <w:rPr>
          <w:rFonts w:hint="eastAsia" w:asciiTheme="minorEastAsia" w:hAnsiTheme="minorEastAsia" w:eastAsiaTheme="minorEastAsia"/>
          <w:sz w:val="25"/>
          <w:szCs w:val="25"/>
          <w:highlight w:val="none"/>
        </w:rPr>
        <w:t>NJMUZB30120190</w:t>
      </w:r>
      <w:r>
        <w:rPr>
          <w:rFonts w:hint="eastAsia" w:asciiTheme="minorEastAsia" w:hAnsiTheme="minorEastAsia" w:eastAsiaTheme="minorEastAsia"/>
          <w:sz w:val="25"/>
          <w:szCs w:val="25"/>
          <w:highlight w:val="none"/>
          <w:lang w:val="en-US" w:eastAsia="zh-CN"/>
        </w:rPr>
        <w:t>41</w:t>
      </w:r>
    </w:p>
    <w:p>
      <w:pPr>
        <w:spacing w:beforeLines="50" w:afterLines="50" w:line="270" w:lineRule="exact"/>
        <w:ind w:firstLine="502" w:firstLineChars="200"/>
        <w:rPr>
          <w:rFonts w:asciiTheme="minorEastAsia" w:hAnsiTheme="minorEastAsia" w:eastAsiaTheme="minorEastAsia"/>
          <w:bCs/>
          <w:sz w:val="25"/>
          <w:szCs w:val="25"/>
        </w:rPr>
      </w:pPr>
      <w:r>
        <w:rPr>
          <w:rFonts w:hint="eastAsia" w:asciiTheme="minorEastAsia" w:hAnsiTheme="minorEastAsia" w:eastAsiaTheme="minorEastAsia"/>
          <w:b/>
          <w:sz w:val="25"/>
          <w:szCs w:val="25"/>
        </w:rPr>
        <w:t>二、采购项目的预算金额</w:t>
      </w:r>
      <w:r>
        <w:rPr>
          <w:rFonts w:hint="eastAsia" w:asciiTheme="minorEastAsia" w:hAnsiTheme="minorEastAsia" w:eastAsiaTheme="minorEastAsia"/>
          <w:sz w:val="25"/>
          <w:szCs w:val="25"/>
        </w:rPr>
        <w:t xml:space="preserve">:  </w:t>
      </w:r>
      <w:r>
        <w:rPr>
          <w:rFonts w:hint="eastAsia" w:asciiTheme="minorEastAsia" w:hAnsiTheme="minorEastAsia" w:eastAsiaTheme="minorEastAsia"/>
          <w:bCs/>
          <w:sz w:val="25"/>
          <w:szCs w:val="25"/>
        </w:rPr>
        <w:t>总预算：</w:t>
      </w:r>
      <w:r>
        <w:rPr>
          <w:rFonts w:hint="eastAsia" w:asciiTheme="minorEastAsia" w:hAnsiTheme="minorEastAsia" w:eastAsiaTheme="minorEastAsia"/>
          <w:bCs/>
          <w:sz w:val="25"/>
          <w:szCs w:val="25"/>
          <w:lang w:eastAsia="zh-CN"/>
        </w:rPr>
        <w:t>￥</w:t>
      </w:r>
      <w:r>
        <w:rPr>
          <w:rFonts w:hint="eastAsia" w:asciiTheme="minorEastAsia" w:hAnsiTheme="minorEastAsia" w:eastAsiaTheme="minorEastAsia"/>
          <w:bCs/>
          <w:sz w:val="25"/>
          <w:szCs w:val="25"/>
        </w:rPr>
        <w:t>13.4万元</w:t>
      </w:r>
    </w:p>
    <w:p>
      <w:pPr>
        <w:spacing w:beforeLines="50" w:afterLines="50" w:line="270" w:lineRule="exact"/>
        <w:ind w:firstLine="1000" w:firstLineChars="400"/>
        <w:rPr>
          <w:rFonts w:asciiTheme="minorEastAsia" w:hAnsiTheme="minorEastAsia" w:eastAsiaTheme="minorEastAsia"/>
          <w:bCs/>
          <w:sz w:val="25"/>
          <w:szCs w:val="25"/>
        </w:rPr>
      </w:pPr>
      <w:r>
        <w:rPr>
          <w:rFonts w:hint="eastAsia" w:asciiTheme="minorEastAsia" w:hAnsiTheme="minorEastAsia" w:eastAsiaTheme="minorEastAsia"/>
          <w:bCs/>
          <w:sz w:val="25"/>
          <w:szCs w:val="25"/>
        </w:rPr>
        <w:t>分项预算：1、小型台式高速离心机，预算</w:t>
      </w:r>
      <w:r>
        <w:rPr>
          <w:rFonts w:hint="eastAsia" w:asciiTheme="minorEastAsia" w:hAnsiTheme="minorEastAsia" w:eastAsiaTheme="minorEastAsia"/>
          <w:bCs/>
          <w:sz w:val="25"/>
          <w:szCs w:val="25"/>
          <w:lang w:eastAsia="zh-CN"/>
        </w:rPr>
        <w:t>￥</w:t>
      </w:r>
      <w:r>
        <w:rPr>
          <w:rFonts w:hint="eastAsia" w:asciiTheme="minorEastAsia" w:hAnsiTheme="minorEastAsia" w:eastAsiaTheme="minorEastAsia"/>
          <w:bCs/>
          <w:sz w:val="25"/>
          <w:szCs w:val="25"/>
        </w:rPr>
        <w:t>4.18万元</w:t>
      </w:r>
    </w:p>
    <w:p>
      <w:pPr>
        <w:numPr>
          <w:ilvl w:val="-1"/>
          <w:numId w:val="0"/>
        </w:numPr>
        <w:spacing w:beforeLines="50" w:afterLines="50" w:line="270" w:lineRule="exact"/>
        <w:ind w:left="0" w:firstLine="2250" w:firstLineChars="900"/>
        <w:rPr>
          <w:rFonts w:asciiTheme="minorEastAsia" w:hAnsiTheme="minorEastAsia" w:eastAsiaTheme="minorEastAsia"/>
          <w:bCs/>
          <w:sz w:val="25"/>
          <w:szCs w:val="25"/>
        </w:rPr>
      </w:pPr>
      <w:r>
        <w:rPr>
          <w:rFonts w:hint="eastAsia" w:asciiTheme="minorEastAsia" w:hAnsiTheme="minorEastAsia" w:eastAsiaTheme="minorEastAsia"/>
          <w:bCs/>
          <w:sz w:val="25"/>
          <w:szCs w:val="25"/>
          <w:lang w:val="en-US" w:eastAsia="zh-CN"/>
        </w:rPr>
        <w:t>2、</w:t>
      </w:r>
      <w:r>
        <w:rPr>
          <w:rFonts w:hint="eastAsia" w:asciiTheme="minorEastAsia" w:hAnsiTheme="minorEastAsia" w:eastAsiaTheme="minorEastAsia"/>
          <w:bCs/>
          <w:sz w:val="25"/>
          <w:szCs w:val="25"/>
        </w:rPr>
        <w:t>梯度PCR仪，        预算</w:t>
      </w:r>
      <w:r>
        <w:rPr>
          <w:rFonts w:hint="eastAsia" w:asciiTheme="minorEastAsia" w:hAnsiTheme="minorEastAsia" w:eastAsiaTheme="minorEastAsia"/>
          <w:bCs/>
          <w:sz w:val="25"/>
          <w:szCs w:val="25"/>
          <w:lang w:eastAsia="zh-CN"/>
        </w:rPr>
        <w:t>￥</w:t>
      </w:r>
      <w:r>
        <w:rPr>
          <w:rFonts w:hint="eastAsia" w:asciiTheme="minorEastAsia" w:hAnsiTheme="minorEastAsia" w:eastAsiaTheme="minorEastAsia"/>
          <w:bCs/>
          <w:sz w:val="25"/>
          <w:szCs w:val="25"/>
        </w:rPr>
        <w:t>4.32万元</w:t>
      </w:r>
    </w:p>
    <w:p>
      <w:pPr>
        <w:numPr>
          <w:ilvl w:val="-1"/>
          <w:numId w:val="0"/>
        </w:numPr>
        <w:spacing w:beforeLines="50" w:afterLines="50" w:line="270" w:lineRule="exact"/>
        <w:ind w:left="0" w:firstLine="2250" w:firstLineChars="900"/>
        <w:rPr>
          <w:rFonts w:asciiTheme="minorEastAsia" w:hAnsiTheme="minorEastAsia" w:eastAsiaTheme="minorEastAsia"/>
          <w:bCs/>
          <w:sz w:val="25"/>
          <w:szCs w:val="25"/>
        </w:rPr>
      </w:pPr>
      <w:r>
        <w:rPr>
          <w:rFonts w:hint="eastAsia" w:asciiTheme="minorEastAsia" w:hAnsiTheme="minorEastAsia" w:eastAsiaTheme="minorEastAsia"/>
          <w:bCs/>
          <w:sz w:val="25"/>
          <w:szCs w:val="25"/>
          <w:lang w:val="en-US" w:eastAsia="zh-CN"/>
        </w:rPr>
        <w:t>3、</w:t>
      </w:r>
      <w:r>
        <w:rPr>
          <w:rFonts w:hint="eastAsia" w:asciiTheme="minorEastAsia" w:hAnsiTheme="minorEastAsia" w:eastAsiaTheme="minorEastAsia"/>
          <w:bCs/>
          <w:sz w:val="25"/>
          <w:szCs w:val="25"/>
        </w:rPr>
        <w:t>超低温冰箱，        预算</w:t>
      </w:r>
      <w:r>
        <w:rPr>
          <w:rFonts w:hint="eastAsia" w:asciiTheme="minorEastAsia" w:hAnsiTheme="minorEastAsia" w:eastAsiaTheme="minorEastAsia"/>
          <w:bCs/>
          <w:sz w:val="25"/>
          <w:szCs w:val="25"/>
          <w:lang w:eastAsia="zh-CN"/>
        </w:rPr>
        <w:t>￥</w:t>
      </w:r>
      <w:r>
        <w:rPr>
          <w:rFonts w:hint="eastAsia" w:asciiTheme="minorEastAsia" w:hAnsiTheme="minorEastAsia" w:eastAsiaTheme="minorEastAsia"/>
          <w:bCs/>
          <w:sz w:val="25"/>
          <w:szCs w:val="25"/>
        </w:rPr>
        <w:t>4.9万元</w:t>
      </w:r>
    </w:p>
    <w:p>
      <w:pPr>
        <w:spacing w:beforeLines="50" w:afterLines="50" w:line="270" w:lineRule="exact"/>
        <w:ind w:firstLine="502" w:firstLineChars="200"/>
        <w:rPr>
          <w:rFonts w:asciiTheme="minorEastAsia" w:hAnsiTheme="minorEastAsia" w:eastAsiaTheme="minorEastAsia"/>
          <w:b/>
          <w:sz w:val="25"/>
          <w:szCs w:val="25"/>
        </w:rPr>
      </w:pPr>
      <w:r>
        <w:rPr>
          <w:rFonts w:hint="eastAsia" w:asciiTheme="minorEastAsia" w:hAnsiTheme="minorEastAsia" w:eastAsiaTheme="minorEastAsia"/>
          <w:b/>
          <w:sz w:val="25"/>
          <w:szCs w:val="25"/>
        </w:rPr>
        <w:t>三、采购项目需求</w:t>
      </w:r>
    </w:p>
    <w:p>
      <w:pPr>
        <w:spacing w:beforeLines="50" w:afterLines="50" w:line="270" w:lineRule="exact"/>
        <w:ind w:firstLine="502" w:firstLineChars="200"/>
        <w:rPr>
          <w:rFonts w:asciiTheme="minorEastAsia" w:hAnsiTheme="minorEastAsia" w:eastAsiaTheme="minorEastAsia"/>
          <w:b/>
          <w:sz w:val="25"/>
          <w:szCs w:val="25"/>
        </w:rPr>
      </w:pPr>
      <w:r>
        <w:rPr>
          <w:rFonts w:hint="eastAsia" w:asciiTheme="minorEastAsia" w:hAnsiTheme="minorEastAsia" w:eastAsiaTheme="minorEastAsia"/>
          <w:b/>
          <w:sz w:val="25"/>
          <w:szCs w:val="25"/>
        </w:rPr>
        <w:t>（一）</w:t>
      </w:r>
      <w:r>
        <w:rPr>
          <w:rFonts w:hint="eastAsia" w:asciiTheme="minorEastAsia" w:hAnsiTheme="minorEastAsia" w:eastAsiaTheme="minorEastAsia"/>
          <w:sz w:val="25"/>
          <w:szCs w:val="25"/>
        </w:rPr>
        <w:t>项目具体要求详见第三章：项目需求；</w:t>
      </w:r>
    </w:p>
    <w:p>
      <w:pPr>
        <w:spacing w:beforeLines="50" w:afterLines="50" w:line="270" w:lineRule="exact"/>
        <w:ind w:firstLine="500" w:firstLineChars="200"/>
        <w:rPr>
          <w:rFonts w:asciiTheme="minorEastAsia" w:hAnsiTheme="minorEastAsia" w:eastAsiaTheme="minorEastAsia"/>
          <w:sz w:val="25"/>
          <w:szCs w:val="25"/>
        </w:rPr>
      </w:pPr>
      <w:r>
        <w:rPr>
          <w:rFonts w:hint="eastAsia" w:asciiTheme="minorEastAsia" w:hAnsiTheme="minorEastAsia" w:eastAsiaTheme="minorEastAsia"/>
          <w:sz w:val="25"/>
          <w:szCs w:val="25"/>
        </w:rPr>
        <w:t>（二）进口设备一律采用人民币报价(包干价)，其他币种报价不予接受，后果由投标人承担。</w:t>
      </w:r>
    </w:p>
    <w:p>
      <w:pPr>
        <w:spacing w:beforeLines="50" w:afterLines="50" w:line="270" w:lineRule="exact"/>
        <w:ind w:firstLine="502" w:firstLineChars="200"/>
        <w:rPr>
          <w:rFonts w:asciiTheme="minorEastAsia" w:hAnsiTheme="minorEastAsia" w:eastAsiaTheme="minorEastAsia"/>
          <w:b/>
          <w:bCs/>
          <w:sz w:val="25"/>
          <w:szCs w:val="25"/>
          <w:u w:val="single"/>
        </w:rPr>
      </w:pPr>
      <w:r>
        <w:rPr>
          <w:rFonts w:hint="eastAsia" w:asciiTheme="minorEastAsia" w:hAnsiTheme="minorEastAsia" w:eastAsiaTheme="minorEastAsia"/>
          <w:b/>
          <w:bCs/>
          <w:sz w:val="25"/>
          <w:szCs w:val="25"/>
          <w:u w:val="single"/>
        </w:rPr>
        <w:t>（三）请投标人对整个项目进行总报价的同时，提供每个设备的分项报价，未提供分项报价、分项报价超过对应预算价的一律按无效标处理，后果自负。</w:t>
      </w:r>
    </w:p>
    <w:p>
      <w:pPr>
        <w:tabs>
          <w:tab w:val="left" w:pos="208"/>
        </w:tabs>
        <w:spacing w:beforeLines="50" w:afterLines="50" w:line="270" w:lineRule="exact"/>
        <w:ind w:firstLine="500" w:firstLineChars="200"/>
        <w:rPr>
          <w:rFonts w:asciiTheme="minorEastAsia" w:hAnsiTheme="minorEastAsia" w:eastAsiaTheme="minorEastAsia"/>
          <w:b/>
          <w:bCs/>
          <w:sz w:val="25"/>
          <w:szCs w:val="25"/>
          <w:u w:val="single"/>
        </w:rPr>
      </w:pPr>
      <w:r>
        <w:rPr>
          <w:rFonts w:hint="eastAsia" w:asciiTheme="minorEastAsia" w:hAnsiTheme="minorEastAsia" w:eastAsiaTheme="minorEastAsia"/>
          <w:color w:val="FF0000"/>
          <w:sz w:val="25"/>
          <w:szCs w:val="25"/>
          <w:u w:val="single"/>
        </w:rPr>
        <w:tab/>
      </w:r>
      <w:r>
        <w:rPr>
          <w:rFonts w:hint="eastAsia" w:asciiTheme="minorEastAsia" w:hAnsiTheme="minorEastAsia" w:eastAsiaTheme="minorEastAsia"/>
          <w:color w:val="FF0000"/>
          <w:sz w:val="25"/>
          <w:szCs w:val="25"/>
          <w:u w:val="single"/>
        </w:rPr>
        <w:t>（四）如为进口设备，需提供免税报价。</w:t>
      </w:r>
    </w:p>
    <w:p>
      <w:pPr>
        <w:spacing w:beforeLines="50" w:afterLines="50" w:line="270" w:lineRule="exact"/>
        <w:ind w:firstLine="502" w:firstLineChars="200"/>
        <w:rPr>
          <w:rFonts w:asciiTheme="minorEastAsia" w:hAnsiTheme="minorEastAsia" w:eastAsiaTheme="minorEastAsia"/>
          <w:b/>
          <w:color w:val="FF0000"/>
          <w:sz w:val="25"/>
          <w:szCs w:val="25"/>
        </w:rPr>
      </w:pPr>
      <w:r>
        <w:rPr>
          <w:rFonts w:hint="eastAsia" w:asciiTheme="minorEastAsia" w:hAnsiTheme="minorEastAsia" w:eastAsiaTheme="minorEastAsia"/>
          <w:b/>
          <w:sz w:val="25"/>
          <w:szCs w:val="25"/>
        </w:rPr>
        <w:t>四、投标商资格要求：</w:t>
      </w:r>
    </w:p>
    <w:p>
      <w:pPr>
        <w:spacing w:beforeLines="50" w:afterLines="50" w:line="270" w:lineRule="exact"/>
        <w:ind w:firstLine="500" w:firstLineChars="200"/>
        <w:rPr>
          <w:rFonts w:cs="Arial" w:asciiTheme="minorEastAsia" w:hAnsiTheme="minorEastAsia" w:eastAsiaTheme="minorEastAsia"/>
          <w:sz w:val="25"/>
          <w:szCs w:val="25"/>
        </w:rPr>
      </w:pPr>
      <w:r>
        <w:rPr>
          <w:rFonts w:hint="eastAsia" w:cs="Arial" w:asciiTheme="minorEastAsia" w:hAnsiTheme="minorEastAsia" w:eastAsiaTheme="minorEastAsia"/>
          <w:sz w:val="25"/>
          <w:szCs w:val="25"/>
        </w:rPr>
        <w:t>（一）</w:t>
      </w:r>
      <w:r>
        <w:rPr>
          <w:rFonts w:cs="Arial" w:asciiTheme="minorEastAsia" w:hAnsiTheme="minorEastAsia" w:eastAsiaTheme="minorEastAsia"/>
          <w:sz w:val="25"/>
          <w:szCs w:val="25"/>
        </w:rPr>
        <w:t>符合政府采购法第二十二条</w:t>
      </w:r>
      <w:r>
        <w:rPr>
          <w:rFonts w:hint="eastAsia" w:cs="Arial" w:asciiTheme="minorEastAsia" w:hAnsiTheme="minorEastAsia" w:eastAsiaTheme="minorEastAsia"/>
          <w:sz w:val="25"/>
          <w:szCs w:val="25"/>
        </w:rPr>
        <w:t>第一款</w:t>
      </w:r>
      <w:r>
        <w:rPr>
          <w:rFonts w:cs="Arial" w:asciiTheme="minorEastAsia" w:hAnsiTheme="minorEastAsia" w:eastAsiaTheme="minorEastAsia"/>
          <w:sz w:val="25"/>
          <w:szCs w:val="25"/>
        </w:rPr>
        <w:t>规定</w:t>
      </w:r>
      <w:r>
        <w:rPr>
          <w:rFonts w:hint="eastAsia" w:cs="Arial" w:asciiTheme="minorEastAsia" w:hAnsiTheme="minorEastAsia" w:eastAsiaTheme="minorEastAsia"/>
          <w:sz w:val="25"/>
          <w:szCs w:val="25"/>
        </w:rPr>
        <w:t>的条件，并提供下列材料</w:t>
      </w:r>
      <w:r>
        <w:rPr>
          <w:rFonts w:hint="eastAsia" w:asciiTheme="minorEastAsia" w:hAnsiTheme="minorEastAsia" w:eastAsiaTheme="minorEastAsia"/>
          <w:b/>
          <w:bCs/>
          <w:color w:val="FF0000"/>
          <w:sz w:val="25"/>
          <w:szCs w:val="25"/>
        </w:rPr>
        <w:t>（注：分别提供纸质材料并加盖公章，原件备查）</w:t>
      </w:r>
      <w:r>
        <w:rPr>
          <w:rFonts w:cs="Arial" w:asciiTheme="minorEastAsia" w:hAnsiTheme="minorEastAsia" w:eastAsiaTheme="minorEastAsia"/>
          <w:sz w:val="25"/>
          <w:szCs w:val="25"/>
        </w:rPr>
        <w:t>；</w:t>
      </w:r>
    </w:p>
    <w:p>
      <w:pPr>
        <w:spacing w:beforeLines="50" w:afterLines="50" w:line="270" w:lineRule="exact"/>
        <w:ind w:firstLine="500" w:firstLineChars="200"/>
        <w:rPr>
          <w:rFonts w:cs="宋体" w:asciiTheme="minorEastAsia" w:hAnsiTheme="minorEastAsia" w:eastAsiaTheme="minorEastAsia"/>
          <w:sz w:val="25"/>
          <w:szCs w:val="25"/>
        </w:rPr>
      </w:pPr>
      <w:r>
        <w:rPr>
          <w:rFonts w:hint="eastAsia" w:cs="Arial" w:asciiTheme="minorEastAsia" w:hAnsiTheme="minorEastAsia" w:eastAsiaTheme="minorEastAsia"/>
          <w:sz w:val="25"/>
          <w:szCs w:val="25"/>
        </w:rPr>
        <w:t>1、</w:t>
      </w:r>
      <w:r>
        <w:rPr>
          <w:rFonts w:cs="宋体" w:asciiTheme="minorEastAsia" w:hAnsiTheme="minorEastAsia" w:eastAsiaTheme="minorEastAsia"/>
          <w:sz w:val="25"/>
          <w:szCs w:val="25"/>
        </w:rPr>
        <w:t>法人或者其他组织的营业执照等证明文件，</w:t>
      </w:r>
      <w:r>
        <w:rPr>
          <w:rFonts w:hint="eastAsia" w:asciiTheme="minorEastAsia" w:hAnsiTheme="minorEastAsia" w:eastAsiaTheme="minorEastAsia"/>
          <w:sz w:val="25"/>
          <w:szCs w:val="25"/>
        </w:rPr>
        <w:t>法定代表人和授权代表</w:t>
      </w:r>
      <w:r>
        <w:rPr>
          <w:rFonts w:cs="宋体" w:asciiTheme="minorEastAsia" w:hAnsiTheme="minorEastAsia" w:eastAsiaTheme="minorEastAsia"/>
          <w:sz w:val="25"/>
          <w:szCs w:val="25"/>
        </w:rPr>
        <w:t>的身份证明；</w:t>
      </w:r>
      <w:r>
        <w:rPr>
          <w:rFonts w:cs="宋体" w:asciiTheme="minorEastAsia" w:hAnsiTheme="minorEastAsia" w:eastAsiaTheme="minorEastAsia"/>
          <w:sz w:val="25"/>
          <w:szCs w:val="25"/>
        </w:rPr>
        <w:br w:type="textWrapping"/>
      </w:r>
      <w:r>
        <w:rPr>
          <w:rFonts w:cs="宋体" w:asciiTheme="minorEastAsia" w:hAnsiTheme="minorEastAsia" w:eastAsiaTheme="minorEastAsia"/>
          <w:sz w:val="25"/>
          <w:szCs w:val="25"/>
        </w:rPr>
        <w:t>　</w:t>
      </w:r>
      <w:r>
        <w:rPr>
          <w:rFonts w:hint="eastAsia" w:cs="宋体" w:asciiTheme="minorEastAsia" w:hAnsiTheme="minorEastAsia" w:eastAsiaTheme="minorEastAsia"/>
          <w:sz w:val="25"/>
          <w:szCs w:val="25"/>
        </w:rPr>
        <w:t xml:space="preserve">  2、2017或2018年度的</w:t>
      </w:r>
      <w:r>
        <w:rPr>
          <w:rFonts w:cs="宋体" w:asciiTheme="minorEastAsia" w:hAnsiTheme="minorEastAsia" w:eastAsiaTheme="minorEastAsia"/>
          <w:sz w:val="25"/>
          <w:szCs w:val="25"/>
        </w:rPr>
        <w:t>财务状况报告</w:t>
      </w:r>
      <w:r>
        <w:rPr>
          <w:rFonts w:hint="eastAsia" w:cs="宋体" w:asciiTheme="minorEastAsia" w:hAnsiTheme="minorEastAsia" w:eastAsiaTheme="minorEastAsia"/>
          <w:sz w:val="25"/>
          <w:szCs w:val="25"/>
        </w:rPr>
        <w:t>（成立不满一年不需提供）；</w:t>
      </w:r>
    </w:p>
    <w:p>
      <w:pPr>
        <w:spacing w:beforeLines="50" w:afterLines="50" w:line="270" w:lineRule="exact"/>
        <w:ind w:firstLine="500" w:firstLineChars="200"/>
        <w:rPr>
          <w:rFonts w:cs="宋体" w:asciiTheme="minorEastAsia" w:hAnsiTheme="minorEastAsia" w:eastAsiaTheme="minorEastAsia"/>
          <w:sz w:val="25"/>
          <w:szCs w:val="25"/>
        </w:rPr>
      </w:pPr>
      <w:r>
        <w:rPr>
          <w:rFonts w:hint="eastAsia" w:cs="宋体" w:asciiTheme="minorEastAsia" w:hAnsiTheme="minorEastAsia" w:eastAsiaTheme="minorEastAsia"/>
          <w:sz w:val="25"/>
          <w:szCs w:val="25"/>
        </w:rPr>
        <w:t>3、</w:t>
      </w:r>
      <w:r>
        <w:rPr>
          <w:rFonts w:cs="宋体" w:asciiTheme="minorEastAsia" w:hAnsiTheme="minorEastAsia" w:eastAsiaTheme="minorEastAsia"/>
          <w:sz w:val="25"/>
          <w:szCs w:val="25"/>
        </w:rPr>
        <w:t>依法缴纳税收和社会保障资金的相关材料；</w:t>
      </w:r>
      <w:r>
        <w:rPr>
          <w:rFonts w:cs="宋体" w:asciiTheme="minorEastAsia" w:hAnsiTheme="minorEastAsia" w:eastAsiaTheme="minorEastAsia"/>
          <w:sz w:val="25"/>
          <w:szCs w:val="25"/>
        </w:rPr>
        <w:br w:type="textWrapping"/>
      </w:r>
      <w:r>
        <w:rPr>
          <w:rFonts w:cs="宋体" w:asciiTheme="minorEastAsia" w:hAnsiTheme="minorEastAsia" w:eastAsiaTheme="minorEastAsia"/>
          <w:sz w:val="25"/>
          <w:szCs w:val="25"/>
        </w:rPr>
        <w:t>　</w:t>
      </w:r>
      <w:r>
        <w:rPr>
          <w:rFonts w:hint="eastAsia" w:cs="宋体" w:asciiTheme="minorEastAsia" w:hAnsiTheme="minorEastAsia" w:eastAsiaTheme="minorEastAsia"/>
          <w:sz w:val="25"/>
          <w:szCs w:val="25"/>
        </w:rPr>
        <w:t xml:space="preserve">  4、</w:t>
      </w:r>
      <w:r>
        <w:rPr>
          <w:rFonts w:cs="宋体" w:asciiTheme="minorEastAsia" w:hAnsiTheme="minorEastAsia" w:eastAsiaTheme="minorEastAsia"/>
          <w:sz w:val="25"/>
          <w:szCs w:val="25"/>
        </w:rPr>
        <w:t>具备履行合同所必需的设备和专业技术能力的证明材料；</w:t>
      </w:r>
      <w:r>
        <w:rPr>
          <w:rFonts w:cs="宋体" w:asciiTheme="minorEastAsia" w:hAnsiTheme="minorEastAsia" w:eastAsiaTheme="minorEastAsia"/>
          <w:sz w:val="25"/>
          <w:szCs w:val="25"/>
        </w:rPr>
        <w:br w:type="textWrapping"/>
      </w:r>
      <w:r>
        <w:rPr>
          <w:rFonts w:cs="宋体" w:asciiTheme="minorEastAsia" w:hAnsiTheme="minorEastAsia" w:eastAsiaTheme="minorEastAsia"/>
          <w:sz w:val="25"/>
          <w:szCs w:val="25"/>
        </w:rPr>
        <w:t>　</w:t>
      </w:r>
      <w:r>
        <w:rPr>
          <w:rFonts w:hint="eastAsia" w:cs="宋体" w:asciiTheme="minorEastAsia" w:hAnsiTheme="minorEastAsia" w:eastAsiaTheme="minorEastAsia"/>
          <w:sz w:val="25"/>
          <w:szCs w:val="25"/>
        </w:rPr>
        <w:t xml:space="preserve">  5、</w:t>
      </w:r>
      <w:r>
        <w:rPr>
          <w:rFonts w:cs="宋体" w:asciiTheme="minorEastAsia" w:hAnsiTheme="minorEastAsia" w:eastAsiaTheme="minorEastAsia"/>
          <w:sz w:val="25"/>
          <w:szCs w:val="25"/>
        </w:rPr>
        <w:t>参加政府采购活动前3年内在经营活动中没有重大违法记录的书面声明；</w:t>
      </w:r>
    </w:p>
    <w:p>
      <w:pPr>
        <w:spacing w:beforeLines="50" w:afterLines="50" w:line="270" w:lineRule="exact"/>
        <w:ind w:firstLine="500" w:firstLineChars="200"/>
        <w:rPr>
          <w:rFonts w:asciiTheme="minorEastAsia" w:hAnsiTheme="minorEastAsia" w:eastAsiaTheme="minorEastAsia"/>
          <w:sz w:val="25"/>
          <w:szCs w:val="25"/>
        </w:rPr>
      </w:pPr>
      <w:r>
        <w:rPr>
          <w:rFonts w:hint="eastAsia" w:cs="宋体" w:asciiTheme="minorEastAsia" w:hAnsiTheme="minorEastAsia" w:eastAsiaTheme="minorEastAsia"/>
          <w:sz w:val="25"/>
          <w:szCs w:val="25"/>
        </w:rPr>
        <w:t>6、</w:t>
      </w:r>
      <w:r>
        <w:rPr>
          <w:rFonts w:hint="eastAsia" w:asciiTheme="minorEastAsia" w:hAnsiTheme="minorEastAsia" w:eastAsiaTheme="minorEastAsia"/>
          <w:sz w:val="25"/>
          <w:szCs w:val="25"/>
        </w:rPr>
        <w:t>未被“信用中国”网站（www.creditchina.gov.cn）列入失信被执行人、重大税收违法案件当事人名单、政府采购严重失信行为记录名单。</w:t>
      </w:r>
    </w:p>
    <w:p>
      <w:pPr>
        <w:spacing w:beforeLines="50" w:afterLines="50" w:line="270" w:lineRule="exact"/>
        <w:ind w:firstLine="500" w:firstLineChars="200"/>
        <w:rPr>
          <w:rFonts w:asciiTheme="minorEastAsia" w:hAnsiTheme="minorEastAsia" w:eastAsiaTheme="minorEastAsia"/>
          <w:sz w:val="25"/>
          <w:szCs w:val="25"/>
        </w:rPr>
      </w:pPr>
      <w:r>
        <w:rPr>
          <w:rFonts w:hint="eastAsia" w:asciiTheme="minorEastAsia" w:hAnsiTheme="minorEastAsia" w:eastAsiaTheme="minorEastAsia"/>
          <w:sz w:val="25"/>
          <w:szCs w:val="25"/>
        </w:rPr>
        <w:t>（二）其他资格要求：</w:t>
      </w:r>
    </w:p>
    <w:p>
      <w:pPr>
        <w:spacing w:beforeLines="50" w:afterLines="50" w:line="270" w:lineRule="exact"/>
        <w:ind w:firstLine="500" w:firstLineChars="200"/>
        <w:rPr>
          <w:rFonts w:asciiTheme="minorEastAsia" w:hAnsiTheme="minorEastAsia" w:eastAsiaTheme="minorEastAsia"/>
          <w:color w:val="000000"/>
          <w:sz w:val="25"/>
          <w:szCs w:val="25"/>
        </w:rPr>
      </w:pPr>
      <w:r>
        <w:rPr>
          <w:rFonts w:hint="eastAsia" w:asciiTheme="minorEastAsia" w:hAnsiTheme="minorEastAsia" w:eastAsiaTheme="minorEastAsia"/>
          <w:sz w:val="25"/>
          <w:szCs w:val="25"/>
        </w:rPr>
        <w:t xml:space="preserve"> 1、代理商投标进口设备，需提供原厂授权证明文件,</w:t>
      </w:r>
      <w:r>
        <w:rPr>
          <w:rFonts w:hint="eastAsia" w:asciiTheme="minorEastAsia" w:hAnsiTheme="minorEastAsia" w:eastAsiaTheme="minorEastAsia"/>
          <w:color w:val="000000"/>
          <w:sz w:val="25"/>
          <w:szCs w:val="25"/>
        </w:rPr>
        <w:t>并明确承担一切售前、售后责任。</w:t>
      </w:r>
    </w:p>
    <w:p>
      <w:pPr>
        <w:spacing w:beforeLines="50" w:afterLines="50" w:line="270" w:lineRule="exact"/>
        <w:ind w:firstLine="500" w:firstLineChars="200"/>
        <w:rPr>
          <w:rFonts w:asciiTheme="minorEastAsia" w:hAnsiTheme="minorEastAsia" w:eastAsiaTheme="minorEastAsia"/>
          <w:sz w:val="25"/>
          <w:szCs w:val="25"/>
        </w:rPr>
      </w:pPr>
      <w:r>
        <w:rPr>
          <w:rFonts w:hint="eastAsia" w:asciiTheme="minorEastAsia" w:hAnsiTheme="minorEastAsia" w:eastAsiaTheme="minorEastAsia"/>
          <w:sz w:val="25"/>
          <w:szCs w:val="25"/>
        </w:rPr>
        <w:t>（三）本项目不接受联合体投标；</w:t>
      </w:r>
    </w:p>
    <w:p>
      <w:pPr>
        <w:spacing w:beforeLines="50" w:afterLines="50" w:line="270" w:lineRule="exact"/>
        <w:ind w:firstLine="500" w:firstLineChars="200"/>
        <w:rPr>
          <w:rFonts w:asciiTheme="minorEastAsia" w:hAnsiTheme="minorEastAsia" w:eastAsiaTheme="minorEastAsia"/>
          <w:sz w:val="25"/>
          <w:szCs w:val="25"/>
        </w:rPr>
      </w:pPr>
      <w:r>
        <w:rPr>
          <w:rFonts w:hint="eastAsia" w:asciiTheme="minorEastAsia" w:hAnsiTheme="minorEastAsia" w:eastAsiaTheme="minorEastAsia"/>
          <w:sz w:val="25"/>
          <w:szCs w:val="25"/>
        </w:rPr>
        <w:t>（四）本项目不允许分包或者转包。</w:t>
      </w:r>
    </w:p>
    <w:p>
      <w:pPr>
        <w:spacing w:beforeLines="50" w:afterLines="50" w:line="270" w:lineRule="exact"/>
        <w:ind w:firstLine="502" w:firstLineChars="200"/>
        <w:rPr>
          <w:rFonts w:asciiTheme="minorEastAsia" w:hAnsiTheme="minorEastAsia" w:eastAsiaTheme="minorEastAsia"/>
          <w:b/>
          <w:sz w:val="25"/>
          <w:szCs w:val="25"/>
        </w:rPr>
      </w:pPr>
      <w:r>
        <w:rPr>
          <w:rFonts w:hint="eastAsia" w:asciiTheme="minorEastAsia" w:hAnsiTheme="minorEastAsia" w:eastAsiaTheme="minorEastAsia"/>
          <w:b/>
          <w:sz w:val="25"/>
          <w:szCs w:val="25"/>
        </w:rPr>
        <w:t>五、获取招标文件的信息</w:t>
      </w:r>
    </w:p>
    <w:p>
      <w:pPr>
        <w:spacing w:beforeLines="50" w:afterLines="50" w:line="270" w:lineRule="exact"/>
        <w:ind w:firstLine="500" w:firstLineChars="200"/>
        <w:rPr>
          <w:rFonts w:asciiTheme="minorEastAsia" w:hAnsiTheme="minorEastAsia" w:eastAsiaTheme="minorEastAsia"/>
          <w:sz w:val="25"/>
          <w:szCs w:val="25"/>
        </w:rPr>
      </w:pPr>
      <w:r>
        <w:rPr>
          <w:rFonts w:hint="eastAsia" w:asciiTheme="minorEastAsia" w:hAnsiTheme="minorEastAsia" w:eastAsiaTheme="minorEastAsia"/>
          <w:sz w:val="25"/>
          <w:szCs w:val="25"/>
        </w:rPr>
        <w:t>公告期限：自采购公告发布之日起五个工作日。招标文件在南京医科大学主页下方“招聘招标”页面：</w:t>
      </w:r>
      <w:r>
        <w:rPr>
          <w:sz w:val="25"/>
          <w:szCs w:val="25"/>
        </w:rPr>
        <w:fldChar w:fldCharType="begin"/>
      </w:r>
      <w:r>
        <w:rPr>
          <w:sz w:val="25"/>
          <w:szCs w:val="25"/>
        </w:rPr>
        <w:instrText xml:space="preserve"> HYPERLINK "http://www.njmu.edu.cn/" </w:instrText>
      </w:r>
      <w:r>
        <w:rPr>
          <w:sz w:val="25"/>
          <w:szCs w:val="25"/>
        </w:rPr>
        <w:fldChar w:fldCharType="separate"/>
      </w:r>
      <w:r>
        <w:rPr>
          <w:sz w:val="25"/>
          <w:szCs w:val="25"/>
        </w:rPr>
        <w:t>http://www.njmu.edu.cn/</w:t>
      </w:r>
      <w:r>
        <w:rPr>
          <w:sz w:val="25"/>
          <w:szCs w:val="25"/>
        </w:rPr>
        <w:fldChar w:fldCharType="end"/>
      </w:r>
      <w:r>
        <w:rPr>
          <w:rFonts w:hint="eastAsia" w:asciiTheme="minorEastAsia" w:hAnsiTheme="minorEastAsia" w:eastAsiaTheme="minorEastAsia"/>
          <w:sz w:val="25"/>
          <w:szCs w:val="25"/>
        </w:rPr>
        <w:t>免费下载，有关本次招标的事项若存在变动或修改，敬请及时关注以上网页发布的信息更正公告。</w:t>
      </w:r>
    </w:p>
    <w:p>
      <w:pPr>
        <w:spacing w:beforeLines="50" w:afterLines="50" w:line="270" w:lineRule="exact"/>
        <w:ind w:firstLine="502" w:firstLineChars="200"/>
        <w:rPr>
          <w:rFonts w:asciiTheme="minorEastAsia" w:hAnsiTheme="minorEastAsia" w:eastAsiaTheme="minorEastAsia"/>
          <w:b/>
          <w:sz w:val="25"/>
          <w:szCs w:val="25"/>
        </w:rPr>
      </w:pPr>
      <w:r>
        <w:rPr>
          <w:rFonts w:hint="eastAsia" w:asciiTheme="minorEastAsia" w:hAnsiTheme="minorEastAsia" w:eastAsiaTheme="minorEastAsia"/>
          <w:b/>
          <w:sz w:val="25"/>
          <w:szCs w:val="25"/>
        </w:rPr>
        <w:t>六、投标截止时间及开标信息</w:t>
      </w:r>
    </w:p>
    <w:p>
      <w:pPr>
        <w:spacing w:beforeLines="50" w:afterLines="50" w:line="270" w:lineRule="exact"/>
        <w:ind w:firstLine="500" w:firstLineChars="200"/>
        <w:rPr>
          <w:rFonts w:asciiTheme="minorEastAsia" w:hAnsiTheme="minorEastAsia" w:eastAsiaTheme="minorEastAsia"/>
          <w:sz w:val="25"/>
          <w:szCs w:val="25"/>
          <w:highlight w:val="none"/>
        </w:rPr>
      </w:pPr>
      <w:r>
        <w:rPr>
          <w:rFonts w:hint="eastAsia" w:asciiTheme="minorEastAsia" w:hAnsiTheme="minorEastAsia" w:eastAsiaTheme="minorEastAsia"/>
          <w:sz w:val="25"/>
          <w:szCs w:val="25"/>
        </w:rPr>
        <w:t>（一）投标文件接收开始时间</w:t>
      </w:r>
      <w:r>
        <w:rPr>
          <w:rFonts w:hint="eastAsia" w:asciiTheme="minorEastAsia" w:hAnsiTheme="minorEastAsia" w:eastAsiaTheme="minorEastAsia"/>
          <w:sz w:val="25"/>
          <w:szCs w:val="25"/>
          <w:highlight w:val="none"/>
        </w:rPr>
        <w:t>：2019年</w:t>
      </w:r>
      <w:r>
        <w:rPr>
          <w:rFonts w:hint="eastAsia" w:asciiTheme="minorEastAsia" w:hAnsiTheme="minorEastAsia" w:eastAsiaTheme="minorEastAsia"/>
          <w:sz w:val="25"/>
          <w:szCs w:val="25"/>
          <w:highlight w:val="none"/>
          <w:lang w:eastAsia="zh-CN"/>
        </w:rPr>
        <w:t>7</w:t>
      </w:r>
      <w:r>
        <w:rPr>
          <w:rFonts w:hint="eastAsia" w:asciiTheme="minorEastAsia" w:hAnsiTheme="minorEastAsia" w:eastAsiaTheme="minorEastAsia"/>
          <w:sz w:val="25"/>
          <w:szCs w:val="25"/>
          <w:highlight w:val="none"/>
        </w:rPr>
        <w:t>月</w:t>
      </w:r>
      <w:r>
        <w:rPr>
          <w:rFonts w:hint="eastAsia" w:asciiTheme="minorEastAsia" w:hAnsiTheme="minorEastAsia" w:eastAsiaTheme="minorEastAsia"/>
          <w:sz w:val="25"/>
          <w:szCs w:val="25"/>
          <w:highlight w:val="none"/>
          <w:lang w:val="en-US" w:eastAsia="zh-CN"/>
        </w:rPr>
        <w:t>30</w:t>
      </w:r>
      <w:r>
        <w:rPr>
          <w:rFonts w:hint="eastAsia" w:asciiTheme="minorEastAsia" w:hAnsiTheme="minorEastAsia" w:eastAsiaTheme="minorEastAsia"/>
          <w:sz w:val="25"/>
          <w:szCs w:val="25"/>
          <w:highlight w:val="none"/>
        </w:rPr>
        <w:t>日上午8:30（北京时间）</w:t>
      </w:r>
    </w:p>
    <w:p>
      <w:pPr>
        <w:spacing w:line="270" w:lineRule="exact"/>
        <w:ind w:firstLine="1125" w:firstLineChars="450"/>
        <w:rPr>
          <w:rFonts w:asciiTheme="minorEastAsia" w:hAnsiTheme="minorEastAsia" w:eastAsiaTheme="minorEastAsia"/>
          <w:sz w:val="25"/>
          <w:szCs w:val="25"/>
          <w:highlight w:val="none"/>
        </w:rPr>
      </w:pPr>
      <w:r>
        <w:rPr>
          <w:rFonts w:hint="eastAsia" w:asciiTheme="minorEastAsia" w:hAnsiTheme="minorEastAsia" w:eastAsiaTheme="minorEastAsia"/>
          <w:sz w:val="25"/>
          <w:szCs w:val="25"/>
          <w:highlight w:val="none"/>
        </w:rPr>
        <w:t>投标文件接收截止时间：2019年</w:t>
      </w:r>
      <w:r>
        <w:rPr>
          <w:rFonts w:hint="eastAsia" w:asciiTheme="minorEastAsia" w:hAnsiTheme="minorEastAsia" w:eastAsiaTheme="minorEastAsia"/>
          <w:sz w:val="25"/>
          <w:szCs w:val="25"/>
          <w:highlight w:val="none"/>
          <w:lang w:val="en-US" w:eastAsia="zh-CN"/>
        </w:rPr>
        <w:t>7</w:t>
      </w:r>
      <w:r>
        <w:rPr>
          <w:rFonts w:hint="eastAsia" w:asciiTheme="minorEastAsia" w:hAnsiTheme="minorEastAsia" w:eastAsiaTheme="minorEastAsia"/>
          <w:sz w:val="25"/>
          <w:szCs w:val="25"/>
          <w:highlight w:val="none"/>
        </w:rPr>
        <w:t>月</w:t>
      </w:r>
      <w:r>
        <w:rPr>
          <w:rFonts w:hint="eastAsia" w:asciiTheme="minorEastAsia" w:hAnsiTheme="minorEastAsia" w:eastAsiaTheme="minorEastAsia"/>
          <w:sz w:val="25"/>
          <w:szCs w:val="25"/>
          <w:highlight w:val="none"/>
          <w:lang w:val="en-US" w:eastAsia="zh-CN"/>
        </w:rPr>
        <w:t>30</w:t>
      </w:r>
      <w:r>
        <w:rPr>
          <w:rFonts w:hint="eastAsia" w:asciiTheme="minorEastAsia" w:hAnsiTheme="minorEastAsia" w:eastAsiaTheme="minorEastAsia"/>
          <w:sz w:val="25"/>
          <w:szCs w:val="25"/>
          <w:highlight w:val="none"/>
        </w:rPr>
        <w:t>日上午9:15（北京时间）</w:t>
      </w:r>
    </w:p>
    <w:p>
      <w:pPr>
        <w:spacing w:line="270" w:lineRule="exact"/>
        <w:ind w:left="1089" w:leftChars="495"/>
        <w:rPr>
          <w:rFonts w:asciiTheme="minorEastAsia" w:hAnsiTheme="minorEastAsia" w:eastAsiaTheme="minorEastAsia"/>
          <w:sz w:val="25"/>
          <w:szCs w:val="25"/>
          <w:highlight w:val="none"/>
        </w:rPr>
      </w:pPr>
      <w:r>
        <w:rPr>
          <w:rFonts w:hint="eastAsia" w:asciiTheme="minorEastAsia" w:hAnsiTheme="minorEastAsia" w:eastAsiaTheme="minorEastAsia"/>
          <w:sz w:val="25"/>
          <w:szCs w:val="25"/>
          <w:highlight w:val="none"/>
        </w:rPr>
        <w:t>投标文件接收地点：南京医科大学江宁校区德馨楼B323室</w:t>
      </w:r>
    </w:p>
    <w:p>
      <w:pPr>
        <w:spacing w:line="270" w:lineRule="exact"/>
        <w:ind w:firstLine="250" w:firstLineChars="100"/>
        <w:rPr>
          <w:rFonts w:asciiTheme="minorEastAsia" w:hAnsiTheme="minorEastAsia" w:eastAsiaTheme="minorEastAsia"/>
          <w:sz w:val="25"/>
          <w:szCs w:val="25"/>
          <w:highlight w:val="none"/>
        </w:rPr>
      </w:pPr>
      <w:r>
        <w:rPr>
          <w:rFonts w:hint="eastAsia" w:asciiTheme="minorEastAsia" w:hAnsiTheme="minorEastAsia" w:eastAsiaTheme="minorEastAsia"/>
          <w:sz w:val="25"/>
          <w:szCs w:val="25"/>
          <w:highlight w:val="none"/>
        </w:rPr>
        <w:t>（南京市江宁区龙眠大道101号，地铁1号南延线南医大-江苏经贸学院站）。</w:t>
      </w:r>
      <w:bookmarkStart w:id="180" w:name="_GoBack"/>
      <w:bookmarkEnd w:id="180"/>
    </w:p>
    <w:p>
      <w:pPr>
        <w:spacing w:line="270" w:lineRule="exact"/>
        <w:ind w:firstLine="500" w:firstLineChars="200"/>
        <w:rPr>
          <w:rFonts w:asciiTheme="minorEastAsia" w:hAnsiTheme="minorEastAsia" w:eastAsiaTheme="minorEastAsia"/>
          <w:sz w:val="25"/>
          <w:szCs w:val="25"/>
          <w:highlight w:val="none"/>
        </w:rPr>
      </w:pPr>
      <w:r>
        <w:rPr>
          <w:rFonts w:hint="eastAsia" w:asciiTheme="minorEastAsia" w:hAnsiTheme="minorEastAsia" w:eastAsiaTheme="minorEastAsia"/>
          <w:sz w:val="25"/>
          <w:szCs w:val="25"/>
          <w:highlight w:val="none"/>
        </w:rPr>
        <w:t>（二）开标时间：2019年</w:t>
      </w:r>
      <w:r>
        <w:rPr>
          <w:rFonts w:hint="eastAsia" w:asciiTheme="minorEastAsia" w:hAnsiTheme="minorEastAsia" w:eastAsiaTheme="minorEastAsia"/>
          <w:sz w:val="25"/>
          <w:szCs w:val="25"/>
          <w:highlight w:val="none"/>
          <w:lang w:eastAsia="zh-CN"/>
        </w:rPr>
        <w:t>7</w:t>
      </w:r>
      <w:r>
        <w:rPr>
          <w:rFonts w:hint="eastAsia" w:asciiTheme="minorEastAsia" w:hAnsiTheme="minorEastAsia" w:eastAsiaTheme="minorEastAsia"/>
          <w:sz w:val="25"/>
          <w:szCs w:val="25"/>
          <w:highlight w:val="none"/>
        </w:rPr>
        <w:t>月</w:t>
      </w:r>
      <w:r>
        <w:rPr>
          <w:rFonts w:hint="eastAsia" w:asciiTheme="minorEastAsia" w:hAnsiTheme="minorEastAsia" w:eastAsiaTheme="minorEastAsia"/>
          <w:sz w:val="25"/>
          <w:szCs w:val="25"/>
          <w:highlight w:val="none"/>
          <w:lang w:val="en-US" w:eastAsia="zh-CN"/>
        </w:rPr>
        <w:t>30</w:t>
      </w:r>
      <w:r>
        <w:rPr>
          <w:rFonts w:hint="eastAsia" w:asciiTheme="minorEastAsia" w:hAnsiTheme="minorEastAsia" w:eastAsiaTheme="minorEastAsia"/>
          <w:sz w:val="25"/>
          <w:szCs w:val="25"/>
          <w:highlight w:val="none"/>
        </w:rPr>
        <w:t>日上午9:15（北京时间）</w:t>
      </w:r>
    </w:p>
    <w:p>
      <w:pPr>
        <w:spacing w:line="270" w:lineRule="exact"/>
        <w:ind w:firstLine="1375" w:firstLineChars="550"/>
        <w:rPr>
          <w:rFonts w:asciiTheme="minorEastAsia" w:hAnsiTheme="minorEastAsia" w:eastAsiaTheme="minorEastAsia"/>
          <w:sz w:val="25"/>
          <w:szCs w:val="25"/>
        </w:rPr>
      </w:pPr>
      <w:r>
        <w:rPr>
          <w:rFonts w:hint="eastAsia" w:asciiTheme="minorEastAsia" w:hAnsiTheme="minorEastAsia" w:eastAsiaTheme="minorEastAsia"/>
          <w:sz w:val="25"/>
          <w:szCs w:val="25"/>
          <w:highlight w:val="none"/>
        </w:rPr>
        <w:t>开标地点：南京医科大学江宁校区德馨楼B3</w:t>
      </w:r>
      <w:r>
        <w:rPr>
          <w:rFonts w:hint="eastAsia" w:asciiTheme="minorEastAsia" w:hAnsiTheme="minorEastAsia" w:eastAsiaTheme="minorEastAsia"/>
          <w:sz w:val="25"/>
          <w:szCs w:val="25"/>
        </w:rPr>
        <w:t>23室</w:t>
      </w:r>
    </w:p>
    <w:p>
      <w:pPr>
        <w:numPr>
          <w:ilvl w:val="0"/>
          <w:numId w:val="3"/>
        </w:numPr>
        <w:spacing w:beforeLines="50" w:afterLines="50" w:line="270" w:lineRule="exact"/>
        <w:ind w:firstLine="500" w:firstLineChars="200"/>
        <w:rPr>
          <w:rFonts w:asciiTheme="minorEastAsia" w:hAnsiTheme="minorEastAsia" w:eastAsiaTheme="minorEastAsia"/>
          <w:sz w:val="25"/>
          <w:szCs w:val="25"/>
        </w:rPr>
      </w:pPr>
      <w:r>
        <w:rPr>
          <w:rFonts w:hint="eastAsia" w:asciiTheme="minorEastAsia" w:hAnsiTheme="minorEastAsia" w:eastAsiaTheme="minorEastAsia"/>
          <w:sz w:val="25"/>
          <w:szCs w:val="25"/>
        </w:rPr>
        <w:t>投标文件接收要求：投标文件一式五份，其中正本一份、副本四份，在标书封面标注“正本”、“副本”字样，标书密封并在封口处加盖公章。开标一览表密封装订单独递交。逾期送达及未按要求密封的投标文件，采购人不予接收。</w:t>
      </w:r>
    </w:p>
    <w:p>
      <w:pPr>
        <w:numPr>
          <w:ilvl w:val="255"/>
          <w:numId w:val="0"/>
        </w:numPr>
        <w:spacing w:beforeLines="50" w:afterLines="50" w:line="270" w:lineRule="exact"/>
        <w:ind w:firstLine="500" w:firstLineChars="200"/>
        <w:rPr>
          <w:rFonts w:asciiTheme="minorEastAsia" w:hAnsiTheme="minorEastAsia" w:eastAsiaTheme="minorEastAsia"/>
          <w:sz w:val="25"/>
          <w:szCs w:val="25"/>
        </w:rPr>
      </w:pPr>
      <w:r>
        <w:rPr>
          <w:rFonts w:hint="eastAsia"/>
          <w:b/>
          <w:i/>
          <w:color w:val="FF0000"/>
          <w:sz w:val="25"/>
          <w:szCs w:val="25"/>
          <w:u w:val="single"/>
        </w:rPr>
        <w:t>（四）开标一览表必须加</w:t>
      </w:r>
      <w:r>
        <w:rPr>
          <w:rFonts w:hint="eastAsia"/>
          <w:b/>
          <w:bCs/>
          <w:i/>
          <w:iCs/>
          <w:color w:val="FF0000"/>
          <w:sz w:val="25"/>
          <w:szCs w:val="25"/>
          <w:u w:val="single"/>
        </w:rPr>
        <w:t>盖投标人公章（复印件无效），必须</w:t>
      </w:r>
      <w:r>
        <w:rPr>
          <w:rFonts w:hint="eastAsia"/>
          <w:b/>
          <w:i/>
          <w:color w:val="FF0000"/>
          <w:sz w:val="25"/>
          <w:szCs w:val="25"/>
          <w:u w:val="single"/>
        </w:rPr>
        <w:t>单独密封在信封中，在投标截止时间前与投标文件分别递交，否则视为无效投标。</w:t>
      </w:r>
    </w:p>
    <w:p>
      <w:pPr>
        <w:spacing w:beforeLines="50" w:afterLines="50" w:line="270" w:lineRule="exact"/>
        <w:ind w:firstLine="500" w:firstLineChars="200"/>
        <w:rPr>
          <w:rFonts w:asciiTheme="minorEastAsia" w:hAnsiTheme="minorEastAsia" w:eastAsiaTheme="minorEastAsia"/>
          <w:sz w:val="25"/>
          <w:szCs w:val="25"/>
        </w:rPr>
      </w:pPr>
      <w:r>
        <w:rPr>
          <w:rFonts w:hint="eastAsia" w:asciiTheme="minorEastAsia" w:hAnsiTheme="minorEastAsia" w:eastAsiaTheme="minorEastAsia"/>
          <w:sz w:val="25"/>
          <w:szCs w:val="25"/>
        </w:rPr>
        <w:t>（五）需要现场澄清的问题，投标商代表未到场书面澄清确认的，后果自负。</w:t>
      </w:r>
    </w:p>
    <w:p>
      <w:pPr>
        <w:spacing w:beforeLines="50" w:afterLines="50" w:line="270" w:lineRule="exact"/>
        <w:ind w:firstLine="502" w:firstLineChars="200"/>
        <w:rPr>
          <w:rFonts w:asciiTheme="minorEastAsia" w:hAnsiTheme="minorEastAsia" w:eastAsiaTheme="minorEastAsia"/>
          <w:b/>
          <w:sz w:val="25"/>
          <w:szCs w:val="25"/>
        </w:rPr>
      </w:pPr>
      <w:r>
        <w:rPr>
          <w:rFonts w:hint="eastAsia" w:asciiTheme="minorEastAsia" w:hAnsiTheme="minorEastAsia" w:eastAsiaTheme="minorEastAsia"/>
          <w:b/>
          <w:sz w:val="25"/>
          <w:szCs w:val="25"/>
        </w:rPr>
        <w:t>七、投标保证金</w:t>
      </w:r>
    </w:p>
    <w:p>
      <w:pPr>
        <w:spacing w:beforeLines="50" w:afterLines="50" w:line="270" w:lineRule="exact"/>
        <w:ind w:firstLine="500" w:firstLineChars="200"/>
        <w:rPr>
          <w:rFonts w:asciiTheme="minorEastAsia" w:hAnsiTheme="minorEastAsia" w:eastAsiaTheme="minorEastAsia"/>
          <w:sz w:val="25"/>
          <w:szCs w:val="25"/>
        </w:rPr>
      </w:pPr>
      <w:r>
        <w:rPr>
          <w:rFonts w:hint="eastAsia" w:asciiTheme="minorEastAsia" w:hAnsiTheme="minorEastAsia" w:eastAsiaTheme="minorEastAsia"/>
          <w:sz w:val="25"/>
          <w:szCs w:val="25"/>
        </w:rPr>
        <w:t>本次招标项目不收取投标保证金。</w:t>
      </w:r>
    </w:p>
    <w:p>
      <w:pPr>
        <w:spacing w:beforeLines="50" w:afterLines="50" w:line="270" w:lineRule="exact"/>
        <w:ind w:firstLine="502" w:firstLineChars="200"/>
        <w:rPr>
          <w:rFonts w:asciiTheme="minorEastAsia" w:hAnsiTheme="minorEastAsia" w:eastAsiaTheme="minorEastAsia"/>
          <w:b/>
          <w:sz w:val="25"/>
          <w:szCs w:val="25"/>
        </w:rPr>
      </w:pPr>
      <w:r>
        <w:rPr>
          <w:rFonts w:hint="eastAsia" w:asciiTheme="minorEastAsia" w:hAnsiTheme="minorEastAsia" w:eastAsiaTheme="minorEastAsia"/>
          <w:b/>
          <w:sz w:val="25"/>
          <w:szCs w:val="25"/>
        </w:rPr>
        <w:t>八、投标无效的情形</w:t>
      </w:r>
    </w:p>
    <w:p>
      <w:pPr>
        <w:spacing w:beforeLines="50" w:afterLines="50" w:line="270" w:lineRule="exact"/>
        <w:ind w:firstLine="500" w:firstLineChars="200"/>
        <w:rPr>
          <w:rFonts w:asciiTheme="minorEastAsia" w:hAnsiTheme="minorEastAsia" w:eastAsiaTheme="minorEastAsia"/>
          <w:sz w:val="25"/>
          <w:szCs w:val="25"/>
        </w:rPr>
      </w:pPr>
      <w:r>
        <w:rPr>
          <w:rFonts w:hint="eastAsia" w:asciiTheme="minorEastAsia" w:hAnsiTheme="minorEastAsia" w:eastAsiaTheme="minorEastAsia"/>
          <w:sz w:val="25"/>
          <w:szCs w:val="25"/>
        </w:rPr>
        <w:t>（一）投标文件未加盖公章、法人或者授权代表未签字；</w:t>
      </w:r>
    </w:p>
    <w:p>
      <w:pPr>
        <w:spacing w:beforeLines="50" w:afterLines="50" w:line="270" w:lineRule="exact"/>
        <w:ind w:firstLine="500" w:firstLineChars="200"/>
        <w:rPr>
          <w:rFonts w:asciiTheme="minorEastAsia" w:hAnsiTheme="minorEastAsia" w:eastAsiaTheme="minorEastAsia"/>
          <w:sz w:val="25"/>
          <w:szCs w:val="25"/>
        </w:rPr>
      </w:pPr>
      <w:r>
        <w:rPr>
          <w:rFonts w:hint="eastAsia" w:asciiTheme="minorEastAsia" w:hAnsiTheme="minorEastAsia" w:eastAsiaTheme="minorEastAsia"/>
          <w:sz w:val="25"/>
          <w:szCs w:val="25"/>
        </w:rPr>
        <w:t>（二）未按照招标文件规定的格式投标；</w:t>
      </w:r>
    </w:p>
    <w:p>
      <w:pPr>
        <w:spacing w:beforeLines="50" w:afterLines="50" w:line="270" w:lineRule="exact"/>
        <w:ind w:firstLine="500" w:firstLineChars="200"/>
        <w:rPr>
          <w:rFonts w:asciiTheme="minorEastAsia" w:hAnsiTheme="minorEastAsia" w:eastAsiaTheme="minorEastAsia"/>
          <w:sz w:val="25"/>
          <w:szCs w:val="25"/>
        </w:rPr>
      </w:pPr>
      <w:r>
        <w:rPr>
          <w:rFonts w:hint="eastAsia" w:asciiTheme="minorEastAsia" w:hAnsiTheme="minorEastAsia" w:eastAsiaTheme="minorEastAsia"/>
          <w:sz w:val="25"/>
          <w:szCs w:val="25"/>
        </w:rPr>
        <w:t>（三）投标报价超过项目预算，包括超过总预算和分项预算；</w:t>
      </w:r>
    </w:p>
    <w:p>
      <w:pPr>
        <w:spacing w:beforeLines="50" w:afterLines="50" w:line="270" w:lineRule="exact"/>
        <w:ind w:firstLine="500" w:firstLineChars="200"/>
        <w:rPr>
          <w:rFonts w:asciiTheme="minorEastAsia" w:hAnsiTheme="minorEastAsia" w:eastAsiaTheme="minorEastAsia"/>
          <w:sz w:val="25"/>
          <w:szCs w:val="25"/>
        </w:rPr>
      </w:pPr>
      <w:r>
        <w:rPr>
          <w:rFonts w:asciiTheme="minorEastAsia" w:hAnsiTheme="minorEastAsia" w:eastAsiaTheme="minorEastAsia"/>
          <w:sz w:val="25"/>
          <w:szCs w:val="25"/>
        </w:rPr>
        <w:t>（</w:t>
      </w:r>
      <w:r>
        <w:rPr>
          <w:rFonts w:hint="eastAsia" w:asciiTheme="minorEastAsia" w:hAnsiTheme="minorEastAsia" w:eastAsiaTheme="minorEastAsia"/>
          <w:sz w:val="25"/>
          <w:szCs w:val="25"/>
        </w:rPr>
        <w:t>四</w:t>
      </w:r>
      <w:r>
        <w:rPr>
          <w:rFonts w:asciiTheme="minorEastAsia" w:hAnsiTheme="minorEastAsia" w:eastAsiaTheme="minorEastAsia"/>
          <w:sz w:val="25"/>
          <w:szCs w:val="25"/>
        </w:rPr>
        <w:t>）投标文件没有对招标文件的实质性要求和条件作出响应；</w:t>
      </w:r>
    </w:p>
    <w:p>
      <w:pPr>
        <w:spacing w:beforeLines="50" w:afterLines="50" w:line="270" w:lineRule="exact"/>
        <w:ind w:firstLine="500" w:firstLineChars="200"/>
        <w:rPr>
          <w:rFonts w:asciiTheme="minorEastAsia" w:hAnsiTheme="minorEastAsia" w:eastAsiaTheme="minorEastAsia"/>
          <w:sz w:val="25"/>
          <w:szCs w:val="25"/>
        </w:rPr>
      </w:pPr>
      <w:r>
        <w:rPr>
          <w:rFonts w:asciiTheme="minorEastAsia" w:hAnsiTheme="minorEastAsia" w:eastAsiaTheme="minorEastAsia"/>
          <w:sz w:val="25"/>
          <w:szCs w:val="25"/>
        </w:rPr>
        <w:t>（</w:t>
      </w:r>
      <w:r>
        <w:rPr>
          <w:rFonts w:hint="eastAsia" w:asciiTheme="minorEastAsia" w:hAnsiTheme="minorEastAsia" w:eastAsiaTheme="minorEastAsia"/>
          <w:sz w:val="25"/>
          <w:szCs w:val="25"/>
        </w:rPr>
        <w:t>五</w:t>
      </w:r>
      <w:r>
        <w:rPr>
          <w:rFonts w:asciiTheme="minorEastAsia" w:hAnsiTheme="minorEastAsia" w:eastAsiaTheme="minorEastAsia"/>
          <w:sz w:val="25"/>
          <w:szCs w:val="25"/>
        </w:rPr>
        <w:t>）投标人有串通投标、弄虚作假、行贿等违法行为。</w:t>
      </w:r>
    </w:p>
    <w:p>
      <w:pPr>
        <w:spacing w:beforeLines="50" w:afterLines="50" w:line="270" w:lineRule="exact"/>
        <w:ind w:firstLine="502" w:firstLineChars="200"/>
        <w:rPr>
          <w:rFonts w:asciiTheme="minorEastAsia" w:hAnsiTheme="minorEastAsia" w:eastAsiaTheme="minorEastAsia"/>
          <w:b/>
          <w:sz w:val="25"/>
          <w:szCs w:val="25"/>
        </w:rPr>
      </w:pPr>
      <w:r>
        <w:rPr>
          <w:rFonts w:hint="eastAsia" w:asciiTheme="minorEastAsia" w:hAnsiTheme="minorEastAsia" w:eastAsiaTheme="minorEastAsia"/>
          <w:b/>
          <w:sz w:val="25"/>
          <w:szCs w:val="25"/>
        </w:rPr>
        <w:t>九、本次招标联系事项</w:t>
      </w:r>
    </w:p>
    <w:p>
      <w:pPr>
        <w:spacing w:line="270" w:lineRule="exact"/>
        <w:ind w:firstLine="505" w:firstLineChars="202"/>
        <w:rPr>
          <w:rFonts w:asciiTheme="minorEastAsia" w:hAnsiTheme="minorEastAsia" w:eastAsiaTheme="minorEastAsia"/>
          <w:sz w:val="25"/>
          <w:szCs w:val="25"/>
        </w:rPr>
      </w:pPr>
      <w:r>
        <w:rPr>
          <w:rFonts w:hint="eastAsia" w:asciiTheme="minorEastAsia" w:hAnsiTheme="minorEastAsia" w:eastAsiaTheme="minorEastAsia"/>
          <w:sz w:val="25"/>
          <w:szCs w:val="25"/>
        </w:rPr>
        <w:t xml:space="preserve">采购人联系人：陈老师               电话：025-86868572 </w:t>
      </w:r>
    </w:p>
    <w:p>
      <w:pPr>
        <w:spacing w:line="270" w:lineRule="exact"/>
        <w:ind w:firstLine="505" w:firstLineChars="202"/>
        <w:rPr>
          <w:rFonts w:asciiTheme="minorEastAsia" w:hAnsiTheme="minorEastAsia" w:eastAsiaTheme="minorEastAsia"/>
          <w:sz w:val="25"/>
          <w:szCs w:val="25"/>
        </w:rPr>
      </w:pPr>
      <w:r>
        <w:rPr>
          <w:rFonts w:hint="eastAsia" w:asciiTheme="minorEastAsia" w:hAnsiTheme="minorEastAsia" w:eastAsiaTheme="minorEastAsia"/>
          <w:sz w:val="25"/>
          <w:szCs w:val="25"/>
        </w:rPr>
        <w:t>项目需求方联系人：冯</w:t>
      </w:r>
      <w:r>
        <w:rPr>
          <w:rFonts w:hint="eastAsia" w:ascii="宋体" w:hAnsi="宋体" w:eastAsia="宋体" w:cs="Times New Roman"/>
          <w:sz w:val="25"/>
          <w:szCs w:val="25"/>
        </w:rPr>
        <w:t xml:space="preserve">老师           </w:t>
      </w:r>
      <w:r>
        <w:rPr>
          <w:rFonts w:hint="eastAsia" w:asciiTheme="minorEastAsia" w:hAnsiTheme="minorEastAsia" w:eastAsiaTheme="minorEastAsia"/>
          <w:sz w:val="25"/>
          <w:szCs w:val="25"/>
        </w:rPr>
        <w:t>电话：13813044126</w:t>
      </w:r>
    </w:p>
    <w:p>
      <w:pPr>
        <w:spacing w:line="270" w:lineRule="exact"/>
        <w:ind w:firstLine="505" w:firstLineChars="202"/>
        <w:rPr>
          <w:rFonts w:asciiTheme="minorEastAsia" w:hAnsiTheme="minorEastAsia" w:eastAsiaTheme="minorEastAsia"/>
          <w:sz w:val="25"/>
          <w:szCs w:val="25"/>
        </w:rPr>
      </w:pPr>
      <w:r>
        <w:rPr>
          <w:rFonts w:hint="eastAsia" w:asciiTheme="minorEastAsia" w:hAnsiTheme="minorEastAsia" w:eastAsiaTheme="minorEastAsia"/>
          <w:sz w:val="25"/>
          <w:szCs w:val="25"/>
        </w:rPr>
        <w:t>邮政编码：210000</w:t>
      </w:r>
    </w:p>
    <w:p>
      <w:pPr>
        <w:spacing w:line="270" w:lineRule="exact"/>
        <w:ind w:firstLine="505" w:firstLineChars="202"/>
        <w:rPr>
          <w:rFonts w:asciiTheme="minorEastAsia" w:hAnsiTheme="minorEastAsia" w:eastAsiaTheme="minorEastAsia"/>
          <w:sz w:val="25"/>
          <w:szCs w:val="25"/>
        </w:rPr>
      </w:pPr>
      <w:r>
        <w:rPr>
          <w:rFonts w:hint="eastAsia" w:asciiTheme="minorEastAsia" w:hAnsiTheme="minorEastAsia" w:eastAsiaTheme="minorEastAsia"/>
          <w:sz w:val="25"/>
          <w:szCs w:val="25"/>
        </w:rPr>
        <w:t>地址：南京医科大学江宁校区明达楼108室（南京市江宁区龙眠大道101号）</w:t>
      </w:r>
    </w:p>
    <w:p>
      <w:pPr>
        <w:spacing w:beforeLines="50" w:afterLines="50" w:line="270" w:lineRule="exact"/>
        <w:ind w:firstLine="502" w:firstLineChars="200"/>
        <w:rPr>
          <w:rFonts w:asciiTheme="minorEastAsia" w:hAnsiTheme="minorEastAsia" w:eastAsiaTheme="minorEastAsia"/>
          <w:b/>
          <w:sz w:val="25"/>
          <w:szCs w:val="25"/>
        </w:rPr>
      </w:pPr>
      <w:r>
        <w:rPr>
          <w:rFonts w:hint="eastAsia" w:asciiTheme="minorEastAsia" w:hAnsiTheme="minorEastAsia" w:eastAsiaTheme="minorEastAsia"/>
          <w:b/>
          <w:sz w:val="25"/>
          <w:szCs w:val="25"/>
        </w:rPr>
        <w:t>十、其他</w:t>
      </w:r>
    </w:p>
    <w:p>
      <w:pPr>
        <w:spacing w:beforeLines="50" w:afterLines="50" w:line="270" w:lineRule="exact"/>
        <w:ind w:firstLine="500" w:firstLineChars="200"/>
        <w:rPr>
          <w:rFonts w:asciiTheme="minorEastAsia" w:hAnsiTheme="minorEastAsia" w:eastAsiaTheme="minorEastAsia"/>
          <w:sz w:val="25"/>
          <w:szCs w:val="25"/>
        </w:rPr>
      </w:pPr>
      <w:r>
        <w:rPr>
          <w:rFonts w:hint="eastAsia" w:asciiTheme="minorEastAsia" w:hAnsiTheme="minorEastAsia" w:eastAsiaTheme="minorEastAsia"/>
          <w:sz w:val="25"/>
          <w:szCs w:val="25"/>
        </w:rPr>
        <w:t>1、本次招标不安排现场勘查和标前会议；</w:t>
      </w:r>
    </w:p>
    <w:p>
      <w:pPr>
        <w:spacing w:beforeLines="50" w:afterLines="50" w:line="270" w:lineRule="exact"/>
        <w:ind w:firstLine="500" w:firstLineChars="200"/>
        <w:rPr>
          <w:rFonts w:asciiTheme="minorEastAsia" w:hAnsiTheme="minorEastAsia" w:eastAsiaTheme="minorEastAsia"/>
          <w:sz w:val="25"/>
          <w:szCs w:val="25"/>
        </w:rPr>
      </w:pPr>
      <w:r>
        <w:rPr>
          <w:rFonts w:hint="eastAsia" w:asciiTheme="minorEastAsia" w:hAnsiTheme="minorEastAsia" w:eastAsiaTheme="minorEastAsia"/>
          <w:sz w:val="25"/>
          <w:szCs w:val="25"/>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120614213"/>
      <w:bookmarkStart w:id="19" w:name="_Toc16938518"/>
      <w:bookmarkStart w:id="20" w:name="_Toc20823274"/>
      <w:bookmarkStart w:id="21" w:name="_Toc513029202"/>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513029203"/>
      <w:bookmarkStart w:id="23" w:name="_Toc20823275"/>
      <w:bookmarkStart w:id="24" w:name="_Toc120614214"/>
      <w:bookmarkStart w:id="25" w:name="_Toc16938519"/>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20823276"/>
      <w:bookmarkStart w:id="29" w:name="_Toc16938520"/>
      <w:bookmarkStart w:id="30" w:name="_Toc513029204"/>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20823277"/>
      <w:bookmarkStart w:id="32" w:name="_Toc16938521"/>
      <w:bookmarkStart w:id="33" w:name="_Toc513029205"/>
      <w:r>
        <w:rPr>
          <w:rFonts w:hint="eastAsia"/>
          <w:b/>
          <w:bCs/>
          <w:sz w:val="28"/>
          <w:szCs w:val="28"/>
        </w:rPr>
        <w:t>2、合格的投标人</w:t>
      </w:r>
      <w:bookmarkEnd w:id="31"/>
      <w:bookmarkEnd w:id="32"/>
      <w:bookmarkEnd w:id="33"/>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20823278"/>
      <w:bookmarkStart w:id="35" w:name="_Toc16938522"/>
      <w:bookmarkStart w:id="36" w:name="_Toc513029206"/>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20823279"/>
      <w:bookmarkStart w:id="38" w:name="_Toc16938523"/>
      <w:bookmarkStart w:id="39" w:name="_Toc513029207"/>
      <w:bookmarkStart w:id="40" w:name="_Toc462564067"/>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20823281"/>
      <w:bookmarkStart w:id="42" w:name="_Toc120614215"/>
      <w:bookmarkStart w:id="43" w:name="_Toc517190883"/>
      <w:bookmarkStart w:id="44" w:name="_Toc513029209"/>
      <w:bookmarkStart w:id="45" w:name="_Toc16938525"/>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513029210"/>
      <w:bookmarkStart w:id="47" w:name="_Toc20823282"/>
      <w:bookmarkStart w:id="48" w:name="_Toc16938526"/>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16938527"/>
      <w:bookmarkStart w:id="50" w:name="_Toc20823283"/>
      <w:bookmarkStart w:id="51" w:name="_Toc462564070"/>
      <w:bookmarkStart w:id="52" w:name="_Toc513029211"/>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3" w:name="_Toc20823284"/>
      <w:bookmarkStart w:id="54" w:name="_Toc513029212"/>
      <w:bookmarkStart w:id="55" w:name="_Toc16938528"/>
      <w:bookmarkStart w:id="56" w:name="_Toc462564071"/>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517190884"/>
      <w:bookmarkStart w:id="58" w:name="_Toc462564072"/>
      <w:bookmarkStart w:id="59" w:name="_Toc16938529"/>
      <w:bookmarkStart w:id="60" w:name="_Toc120614216"/>
      <w:bookmarkStart w:id="61" w:name="_Toc20823285"/>
      <w:bookmarkStart w:id="62" w:name="_Toc513029213"/>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462564073"/>
      <w:bookmarkStart w:id="64" w:name="_Toc20823286"/>
      <w:bookmarkStart w:id="65" w:name="_Toc16938530"/>
      <w:bookmarkStart w:id="66" w:name="_Toc513029214"/>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6"/>
        <w:rPr>
          <w:b/>
          <w:bCs/>
          <w:sz w:val="28"/>
          <w:szCs w:val="28"/>
        </w:rPr>
      </w:pPr>
      <w:bookmarkStart w:id="67" w:name="_Toc16938531"/>
      <w:bookmarkStart w:id="68" w:name="_Toc20823287"/>
      <w:bookmarkStart w:id="69" w:name="_Toc462564074"/>
      <w:bookmarkStart w:id="70" w:name="_Toc513029215"/>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10.2投标人应将投标文件按顺序装订成册，并编制投标文件资料目录。</w:t>
      </w:r>
    </w:p>
    <w:p>
      <w:pPr>
        <w:pStyle w:val="26"/>
        <w:rPr>
          <w:b/>
          <w:bCs/>
          <w:sz w:val="28"/>
          <w:szCs w:val="28"/>
        </w:rPr>
      </w:pPr>
      <w:bookmarkStart w:id="71" w:name="_Hlt26954838"/>
      <w:bookmarkEnd w:id="71"/>
      <w:bookmarkStart w:id="72" w:name="_Hlt26670360"/>
      <w:bookmarkEnd w:id="72"/>
      <w:bookmarkStart w:id="73" w:name="_Hlt26668975"/>
      <w:bookmarkEnd w:id="73"/>
      <w:bookmarkStart w:id="74" w:name="_Toc49090509"/>
      <w:bookmarkStart w:id="75" w:name="_Toc513029219"/>
      <w:bookmarkStart w:id="76" w:name="_Toc14577357"/>
      <w:bookmarkStart w:id="77" w:name="_Toc49090507"/>
      <w:bookmarkStart w:id="78" w:name="_Toc14577354"/>
      <w:bookmarkStart w:id="79" w:name="_Toc513029216"/>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6"/>
        <w:rPr>
          <w:bCs/>
          <w:sz w:val="28"/>
          <w:szCs w:val="28"/>
        </w:rPr>
      </w:pPr>
      <w:bookmarkStart w:id="86" w:name="_Hlt26954842"/>
      <w:bookmarkEnd w:id="86"/>
      <w:bookmarkStart w:id="87" w:name="_Hlt26954844"/>
      <w:bookmarkEnd w:id="87"/>
      <w:bookmarkStart w:id="88" w:name="_Hlt26670425"/>
      <w:bookmarkEnd w:id="88"/>
      <w:bookmarkStart w:id="89" w:name="_Hlt26670403"/>
      <w:bookmarkEnd w:id="89"/>
      <w:bookmarkStart w:id="90" w:name="_Hlt2666898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670482"/>
      <w:bookmarkEnd w:id="91"/>
      <w:bookmarkStart w:id="92" w:name="_Hlt26954731"/>
      <w:bookmarkEnd w:id="92"/>
      <w:bookmarkStart w:id="93" w:name="_Hlt26954846"/>
      <w:bookmarkEnd w:id="93"/>
      <w:bookmarkStart w:id="94" w:name="_Hlt26670486"/>
      <w:bookmarkEnd w:id="94"/>
      <w:bookmarkStart w:id="95" w:name="_Hlt26954848"/>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13.2详细阐述所投货物的主要组成部分、功能设计、实现思路及关键技术；</w:t>
      </w:r>
    </w:p>
    <w:p>
      <w:pPr>
        <w:pStyle w:val="26"/>
        <w:rPr>
          <w:rFonts w:cs="宋体"/>
          <w:sz w:val="28"/>
          <w:szCs w:val="28"/>
          <w:lang w:val="zh-CN"/>
        </w:rPr>
      </w:pPr>
      <w:r>
        <w:rPr>
          <w:rFonts w:hint="eastAsia" w:cs="宋体"/>
          <w:sz w:val="28"/>
          <w:szCs w:val="28"/>
          <w:lang w:val="zh-CN"/>
        </w:rPr>
        <w:t>13.3投标人认为需要的其他技术文件或说明。</w:t>
      </w:r>
    </w:p>
    <w:p>
      <w:pPr>
        <w:pStyle w:val="26"/>
        <w:rPr>
          <w:b/>
          <w:bCs/>
          <w:sz w:val="28"/>
          <w:szCs w:val="28"/>
        </w:rPr>
      </w:pPr>
      <w:r>
        <w:rPr>
          <w:rFonts w:hint="eastAsia"/>
          <w:b/>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14.3培训计划；</w:t>
      </w:r>
    </w:p>
    <w:p>
      <w:pPr>
        <w:pStyle w:val="26"/>
        <w:rPr>
          <w:rFonts w:cs="宋体"/>
          <w:sz w:val="28"/>
          <w:szCs w:val="28"/>
          <w:lang w:val="zh-CN"/>
        </w:rPr>
      </w:pPr>
      <w:r>
        <w:rPr>
          <w:rFonts w:hint="eastAsia" w:cs="宋体"/>
          <w:sz w:val="28"/>
          <w:szCs w:val="28"/>
          <w:lang w:val="zh-CN"/>
        </w:rPr>
        <w:t>14.4提供参加本项目类似案例简介；</w:t>
      </w:r>
    </w:p>
    <w:p>
      <w:pPr>
        <w:pStyle w:val="26"/>
        <w:rPr>
          <w:b/>
          <w:bCs/>
          <w:sz w:val="28"/>
          <w:szCs w:val="28"/>
        </w:rPr>
      </w:pPr>
      <w:bookmarkStart w:id="96" w:name="_Toc14577359"/>
      <w:bookmarkStart w:id="97" w:name="_Toc49090510"/>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6"/>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6"/>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954850"/>
      <w:bookmarkEnd w:id="98"/>
      <w:bookmarkStart w:id="99" w:name="_Hlt26954734"/>
      <w:bookmarkEnd w:id="99"/>
      <w:bookmarkStart w:id="100" w:name="_Hlt26670489"/>
      <w:bookmarkEnd w:id="100"/>
      <w:bookmarkStart w:id="101" w:name="_Hlt26954852"/>
      <w:bookmarkEnd w:id="101"/>
      <w:bookmarkStart w:id="102" w:name="_Hlt26954739"/>
      <w:bookmarkEnd w:id="102"/>
      <w:bookmarkStart w:id="103" w:name="_Toc14577361"/>
      <w:bookmarkStart w:id="104" w:name="_Toc49090512"/>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120614217"/>
      <w:bookmarkStart w:id="106" w:name="_Toc513029224"/>
      <w:bookmarkStart w:id="107" w:name="_Toc20823296"/>
      <w:bookmarkStart w:id="108" w:name="_Toc517190885"/>
      <w:bookmarkStart w:id="109" w:name="_Toc16938540"/>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20823297"/>
      <w:bookmarkStart w:id="111" w:name="_Toc16938541"/>
      <w:bookmarkStart w:id="112" w:name="_Toc462564084"/>
      <w:bookmarkStart w:id="113" w:name="_Toc513029225"/>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16938542"/>
      <w:bookmarkStart w:id="115" w:name="_Toc513029226"/>
      <w:bookmarkStart w:id="116" w:name="_Toc20823298"/>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513029227"/>
      <w:bookmarkStart w:id="118" w:name="_Toc20823299"/>
      <w:bookmarkStart w:id="119" w:name="_Toc16938543"/>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20823300"/>
      <w:bookmarkStart w:id="121" w:name="_Toc16938544"/>
      <w:bookmarkStart w:id="122" w:name="_Toc513029228"/>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6"/>
        <w:rPr>
          <w:b/>
          <w:sz w:val="28"/>
          <w:szCs w:val="28"/>
        </w:rPr>
      </w:pPr>
      <w:bookmarkStart w:id="123" w:name="_Toc16938545"/>
      <w:bookmarkStart w:id="124" w:name="_Toc513029229"/>
      <w:bookmarkStart w:id="125" w:name="_Toc20823301"/>
      <w:bookmarkStart w:id="126" w:name="_Toc120614218"/>
      <w:bookmarkStart w:id="127" w:name="_Toc517190886"/>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513029230"/>
      <w:bookmarkStart w:id="129" w:name="_Toc20823302"/>
      <w:bookmarkStart w:id="130" w:name="_Toc16938546"/>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2.5投标人在报价时不允许采用选择性报价，否则将被视为无效投标。</w:t>
      </w:r>
    </w:p>
    <w:p>
      <w:pPr>
        <w:pStyle w:val="26"/>
        <w:rPr>
          <w:bCs/>
          <w:sz w:val="28"/>
          <w:szCs w:val="28"/>
        </w:rPr>
      </w:pPr>
      <w:r>
        <w:rPr>
          <w:rFonts w:hint="eastAsia"/>
          <w:bCs/>
          <w:sz w:val="28"/>
          <w:szCs w:val="28"/>
        </w:rPr>
        <w:t>22.6投标截止时间结束后参加投标的供应商不足三家的，不得开标。</w:t>
      </w:r>
    </w:p>
    <w:p>
      <w:pPr>
        <w:pStyle w:val="26"/>
        <w:rPr>
          <w:b/>
          <w:bCs/>
          <w:sz w:val="28"/>
          <w:szCs w:val="28"/>
        </w:rPr>
      </w:pPr>
      <w:bookmarkStart w:id="131" w:name="_Toc513029231"/>
      <w:bookmarkStart w:id="132" w:name="_Toc20823303"/>
      <w:bookmarkStart w:id="133" w:name="_Toc16938547"/>
      <w:r>
        <w:rPr>
          <w:rFonts w:hint="eastAsia"/>
          <w:b/>
          <w:bCs/>
          <w:sz w:val="28"/>
          <w:szCs w:val="28"/>
        </w:rPr>
        <w:t>23、评标</w:t>
      </w:r>
    </w:p>
    <w:p>
      <w:pPr>
        <w:pStyle w:val="26"/>
        <w:rPr>
          <w:b/>
          <w:sz w:val="28"/>
          <w:szCs w:val="28"/>
        </w:rPr>
      </w:pPr>
      <w:r>
        <w:rPr>
          <w:rFonts w:hint="eastAsia"/>
          <w:sz w:val="28"/>
          <w:szCs w:val="28"/>
        </w:rPr>
        <w:t>23.1开标后，采购人将组织评标委员会（以下简称评委会）进行评标。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20823304"/>
      <w:bookmarkStart w:id="135" w:name="_Toc513029232"/>
      <w:bookmarkStart w:id="136" w:name="_Toc16938548"/>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16938550"/>
      <w:bookmarkStart w:id="138" w:name="_Toc513029234"/>
      <w:bookmarkStart w:id="139" w:name="_Toc20823306"/>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20823307"/>
      <w:bookmarkStart w:id="141" w:name="_Toc16938551"/>
      <w:bookmarkStart w:id="142" w:name="_Toc513029235"/>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（8）投标人被“信用中国”网站（www.creditchina.gov.cn）</w:t>
      </w:r>
    </w:p>
    <w:p>
      <w:pPr>
        <w:pStyle w:val="26"/>
        <w:rPr>
          <w:bCs/>
          <w:sz w:val="28"/>
          <w:szCs w:val="28"/>
        </w:rPr>
      </w:pPr>
      <w:r>
        <w:rPr>
          <w:rFonts w:hint="eastAsia"/>
          <w:bCs/>
          <w:sz w:val="28"/>
          <w:szCs w:val="28"/>
        </w:rPr>
        <w:t>列入失信被执行人或重大税收违法案件当事人名单或政府采购严重失信行为记录名单。</w:t>
      </w:r>
    </w:p>
    <w:p>
      <w:pPr>
        <w:pStyle w:val="26"/>
        <w:rPr>
          <w:bCs/>
          <w:sz w:val="28"/>
          <w:szCs w:val="28"/>
        </w:rPr>
      </w:pPr>
      <w:r>
        <w:rPr>
          <w:rFonts w:hint="eastAsia"/>
          <w:bCs/>
          <w:sz w:val="28"/>
          <w:szCs w:val="28"/>
        </w:rPr>
        <w:t>（9）投标文件含有采购人不能接受的附加条件的。</w:t>
      </w:r>
    </w:p>
    <w:p>
      <w:pPr>
        <w:pStyle w:val="26"/>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517190887"/>
      <w:bookmarkStart w:id="144" w:name="_Toc120614219"/>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3"/>
      <w:bookmarkStart w:id="149" w:name="OLE_LINK4"/>
      <w:bookmarkStart w:id="150" w:name="OLE_LINK7"/>
      <w:bookmarkStart w:id="151" w:name="OLE_LINK6"/>
      <w:bookmarkStart w:id="152" w:name="OLE_LINK5"/>
      <w:bookmarkStart w:id="153" w:name="OLE_LINK8"/>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28.1中标结果确定后，采购人将向中标供应商发出中标通知书。</w:t>
      </w:r>
    </w:p>
    <w:p>
      <w:pPr>
        <w:pStyle w:val="26"/>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517190888"/>
      <w:bookmarkStart w:id="156" w:name="_Toc120614220"/>
      <w:bookmarkStart w:id="157" w:name="_Toc513029236"/>
      <w:bookmarkStart w:id="158" w:name="_Toc16938552"/>
      <w:bookmarkStart w:id="159" w:name="_Toc20823308"/>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16938553"/>
      <w:bookmarkStart w:id="161" w:name="_Toc513029237"/>
      <w:bookmarkStart w:id="162" w:name="_Toc20823309"/>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14"/>
        <w:spacing w:line="0" w:lineRule="atLeast"/>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一、技术参数及产品配置清单</w:t>
      </w:r>
    </w:p>
    <w:p>
      <w:pPr>
        <w:pStyle w:val="14"/>
        <w:spacing w:line="0" w:lineRule="atLeast"/>
        <w:ind w:left="985" w:leftChars="128" w:hanging="703" w:hangingChars="250"/>
        <w:rPr>
          <w:rFonts w:cs="Times New Roman" w:asciiTheme="minorEastAsia" w:hAnsiTheme="minorEastAsia" w:eastAsiaTheme="minorEastAsia"/>
          <w:b/>
          <w:bCs/>
          <w:kern w:val="2"/>
          <w:sz w:val="28"/>
          <w:szCs w:val="28"/>
        </w:rPr>
      </w:pPr>
      <w:r>
        <w:rPr>
          <w:rFonts w:hint="eastAsia" w:cs="Times New Roman" w:asciiTheme="minorEastAsia" w:hAnsiTheme="minorEastAsia" w:eastAsiaTheme="minorEastAsia"/>
          <w:b/>
          <w:bCs/>
          <w:kern w:val="2"/>
          <w:sz w:val="28"/>
          <w:szCs w:val="28"/>
        </w:rPr>
        <w:t>（1）小型台式高速冷冻离心机，数量：一台；</w:t>
      </w:r>
    </w:p>
    <w:p>
      <w:pPr>
        <w:pStyle w:val="14"/>
        <w:spacing w:line="0" w:lineRule="atLeast"/>
        <w:rPr>
          <w:rFonts w:cs="Times New Roman" w:asciiTheme="minorEastAsia" w:hAnsiTheme="minorEastAsia" w:eastAsiaTheme="minorEastAsia"/>
          <w:kern w:val="2"/>
        </w:rPr>
      </w:pPr>
      <w:r>
        <w:rPr>
          <w:rFonts w:hint="eastAsia" w:asciiTheme="minorEastAsia" w:hAnsiTheme="minorEastAsia" w:eastAsiaTheme="minorEastAsia"/>
          <w:bCs/>
        </w:rPr>
        <w:t xml:space="preserve">  ★</w:t>
      </w:r>
      <w:r>
        <w:rPr>
          <w:rFonts w:hint="eastAsia" w:cs="Times New Roman" w:asciiTheme="minorEastAsia" w:hAnsiTheme="minorEastAsia" w:eastAsiaTheme="minorEastAsia"/>
          <w:kern w:val="2"/>
        </w:rPr>
        <w:t>1、所配固定角转及转子盖材质均为金属，要求导热性能好，耐腐蚀；</w:t>
      </w:r>
    </w:p>
    <w:p>
      <w:pPr>
        <w:pStyle w:val="14"/>
        <w:spacing w:line="0" w:lineRule="atLeast"/>
        <w:ind w:left="882" w:leftChars="128" w:hanging="600" w:hangingChars="2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 xml:space="preserve">  2、离心计时：30 秒- 9小时59分钟，可连续离心；</w:t>
      </w:r>
    </w:p>
    <w:p>
      <w:pPr>
        <w:pStyle w:val="14"/>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3、离心机最大转速不低于15,000 rpm，以100 rpm 递增；最大离心力不低于21000×g；最低转速可达100rpm；</w:t>
      </w:r>
    </w:p>
    <w:p>
      <w:pPr>
        <w:pStyle w:val="14"/>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4、所配转子容量不小于24×1.5/2.0 mL 离心管；</w:t>
      </w:r>
    </w:p>
    <w:p>
      <w:pPr>
        <w:pStyle w:val="14"/>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5，离心机盖具有静音设计，即使不盖转子盖离心也非常安静；</w:t>
      </w:r>
    </w:p>
    <w:p>
      <w:pPr>
        <w:pStyle w:val="14"/>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6，从零加速至最高转速的时间不高于15秒；从最高转速降速至零的时间不高于16秒；</w:t>
      </w:r>
    </w:p>
    <w:p>
      <w:pPr>
        <w:pStyle w:val="14"/>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7，有单独的瞬时离心按键，便于快速离心；有单独的rpm/ rcf转换按键，便于操作；有定速计时功能；</w:t>
      </w:r>
    </w:p>
    <w:p>
      <w:pPr>
        <w:pStyle w:val="14"/>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8，所配转子盖具有气密性功能，可以快速、可靠地锁紧；转子经第三方认证（提供证明材料），可高温高压灭菌；</w:t>
      </w:r>
    </w:p>
    <w:p>
      <w:pPr>
        <w:pStyle w:val="14"/>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9，温控范围：-10℃至 40℃；即使在最高转速也可保持4℃；</w:t>
      </w:r>
    </w:p>
    <w:p>
      <w:pPr>
        <w:pStyle w:val="14"/>
        <w:spacing w:line="0" w:lineRule="atLeast"/>
        <w:ind w:left="882" w:leftChars="128" w:hanging="600" w:hangingChars="250"/>
        <w:rPr>
          <w:rFonts w:cs="Times New Roman" w:asciiTheme="minorEastAsia" w:hAnsiTheme="minorEastAsia" w:eastAsiaTheme="minorEastAsia"/>
          <w:kern w:val="2"/>
        </w:rPr>
      </w:pPr>
      <w:r>
        <w:rPr>
          <w:rFonts w:hint="eastAsia" w:asciiTheme="minorEastAsia" w:hAnsiTheme="minorEastAsia" w:eastAsiaTheme="minorEastAsia"/>
          <w:bCs/>
        </w:rPr>
        <w:t>★</w:t>
      </w:r>
      <w:r>
        <w:rPr>
          <w:rFonts w:hint="eastAsia" w:cs="Times New Roman" w:asciiTheme="minorEastAsia" w:hAnsiTheme="minorEastAsia" w:eastAsiaTheme="minorEastAsia"/>
          <w:kern w:val="2"/>
        </w:rPr>
        <w:t>10，具有快速预冷功能，有自动待机功能，不使用离心功能且离心机盖关闭时，可以进行持续制冷, 确保温度恒定；</w:t>
      </w:r>
    </w:p>
    <w:p>
      <w:pPr>
        <w:pStyle w:val="14"/>
        <w:spacing w:line="0" w:lineRule="atLeast"/>
        <w:rPr>
          <w:rFonts w:cs="Times New Roman" w:asciiTheme="minorEastAsia" w:hAnsiTheme="minorEastAsia" w:eastAsiaTheme="minorEastAsia"/>
          <w:kern w:val="2"/>
        </w:rPr>
      </w:pPr>
      <w:r>
        <w:rPr>
          <w:rFonts w:hint="eastAsia" w:asciiTheme="minorEastAsia" w:hAnsiTheme="minorEastAsia" w:eastAsiaTheme="minorEastAsia"/>
          <w:bCs/>
        </w:rPr>
        <w:t xml:space="preserve">  ★</w:t>
      </w:r>
      <w:r>
        <w:rPr>
          <w:rFonts w:hint="eastAsia" w:cs="Times New Roman" w:asciiTheme="minorEastAsia" w:hAnsiTheme="minorEastAsia" w:eastAsiaTheme="minorEastAsia"/>
          <w:kern w:val="2"/>
        </w:rPr>
        <w:t>11，冷凝水槽防止离心机腔体内冷凝水积聚，防止腐蚀；</w:t>
      </w:r>
    </w:p>
    <w:p>
      <w:pPr>
        <w:pStyle w:val="14"/>
        <w:spacing w:line="0" w:lineRule="atLeast"/>
        <w:ind w:left="882" w:leftChars="128" w:hanging="600" w:hangingChars="250"/>
        <w:rPr>
          <w:rFonts w:cs="Times New Roman" w:asciiTheme="minorEastAsia" w:hAnsiTheme="minorEastAsia" w:eastAsiaTheme="minorEastAsia"/>
          <w:kern w:val="2"/>
        </w:rPr>
      </w:pPr>
      <w:r>
        <w:rPr>
          <w:rFonts w:hint="eastAsia" w:asciiTheme="minorEastAsia" w:hAnsiTheme="minorEastAsia" w:eastAsiaTheme="minorEastAsia"/>
          <w:bCs/>
        </w:rPr>
        <w:t>★</w:t>
      </w:r>
      <w:r>
        <w:rPr>
          <w:rFonts w:hint="eastAsia" w:cs="Times New Roman" w:asciiTheme="minorEastAsia" w:hAnsiTheme="minorEastAsia" w:eastAsiaTheme="minorEastAsia"/>
          <w:kern w:val="2"/>
        </w:rPr>
        <w:t>12，计时方式：启动计时和定速计时（达到设定转速开始计时，确保不同批次离心结果的可重复性）；</w:t>
      </w:r>
    </w:p>
    <w:p>
      <w:pPr>
        <w:pStyle w:val="14"/>
        <w:spacing w:line="0" w:lineRule="atLeast"/>
        <w:ind w:left="985" w:leftChars="128" w:hanging="703" w:hangingChars="250"/>
        <w:rPr>
          <w:rFonts w:cs="Times New Roman" w:asciiTheme="minorEastAsia" w:hAnsiTheme="minorEastAsia" w:eastAsiaTheme="minorEastAsia"/>
          <w:b/>
          <w:bCs/>
          <w:kern w:val="2"/>
          <w:sz w:val="28"/>
          <w:szCs w:val="28"/>
        </w:rPr>
      </w:pPr>
      <w:r>
        <w:rPr>
          <w:rFonts w:hint="eastAsia" w:cs="Times New Roman" w:asciiTheme="minorEastAsia" w:hAnsiTheme="minorEastAsia" w:eastAsiaTheme="minorEastAsia"/>
          <w:b/>
          <w:bCs/>
          <w:kern w:val="2"/>
          <w:sz w:val="28"/>
          <w:szCs w:val="28"/>
        </w:rPr>
        <w:t>（2）梯度PCR仪，数量：一台；</w:t>
      </w:r>
    </w:p>
    <w:p>
      <w:pPr>
        <w:pStyle w:val="14"/>
        <w:spacing w:line="0" w:lineRule="atLeast"/>
        <w:ind w:left="882" w:leftChars="128" w:hanging="600" w:hangingChars="2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1、</w:t>
      </w:r>
      <w:r>
        <w:rPr>
          <w:rFonts w:cs="Times New Roman" w:asciiTheme="minorEastAsia" w:hAnsiTheme="minorEastAsia" w:eastAsiaTheme="minorEastAsia"/>
          <w:kern w:val="2"/>
        </w:rPr>
        <w:t>图形化程序编辑</w:t>
      </w:r>
      <w:r>
        <w:rPr>
          <w:rFonts w:hint="eastAsia" w:cs="Times New Roman" w:asciiTheme="minorEastAsia" w:hAnsiTheme="minorEastAsia" w:eastAsiaTheme="minorEastAsia"/>
          <w:kern w:val="2"/>
        </w:rPr>
        <w:t>，</w:t>
      </w:r>
      <w:r>
        <w:rPr>
          <w:rFonts w:cs="Times New Roman" w:asciiTheme="minorEastAsia" w:hAnsiTheme="minorEastAsia" w:eastAsiaTheme="minorEastAsia"/>
          <w:kern w:val="2"/>
        </w:rPr>
        <w:t>直观简便</w:t>
      </w:r>
      <w:r>
        <w:rPr>
          <w:rFonts w:hint="eastAsia" w:cs="Times New Roman" w:asciiTheme="minorEastAsia" w:hAnsiTheme="minorEastAsia" w:eastAsiaTheme="minorEastAsia"/>
          <w:kern w:val="2"/>
        </w:rPr>
        <w:t>，</w:t>
      </w:r>
      <w:r>
        <w:rPr>
          <w:rFonts w:cs="Times New Roman" w:asciiTheme="minorEastAsia" w:hAnsiTheme="minorEastAsia" w:eastAsiaTheme="minorEastAsia"/>
          <w:kern w:val="2"/>
        </w:rPr>
        <w:t>中文操作界面</w:t>
      </w:r>
    </w:p>
    <w:p>
      <w:pPr>
        <w:pStyle w:val="14"/>
        <w:spacing w:line="0" w:lineRule="atLeast"/>
        <w:ind w:left="88" w:leftChars="40"/>
        <w:rPr>
          <w:rFonts w:cs="Times New Roman" w:asciiTheme="minorEastAsia" w:hAnsiTheme="minorEastAsia" w:eastAsiaTheme="minorEastAsia"/>
          <w:kern w:val="2"/>
        </w:rPr>
      </w:pPr>
      <w:r>
        <w:rPr>
          <w:rFonts w:hint="eastAsia" w:asciiTheme="minorEastAsia" w:hAnsiTheme="minorEastAsia" w:eastAsiaTheme="minorEastAsia"/>
          <w:bCs/>
        </w:rPr>
        <w:t>★</w:t>
      </w:r>
      <w:r>
        <w:rPr>
          <w:rFonts w:hint="eastAsia" w:cs="Times New Roman" w:asciiTheme="minorEastAsia" w:hAnsiTheme="minorEastAsia" w:eastAsiaTheme="minorEastAsia"/>
          <w:kern w:val="2"/>
        </w:rPr>
        <w:t>2、</w:t>
      </w:r>
      <w:r>
        <w:rPr>
          <w:rFonts w:cs="Times New Roman" w:asciiTheme="minorEastAsia" w:hAnsiTheme="minorEastAsia" w:eastAsiaTheme="minorEastAsia"/>
          <w:kern w:val="2"/>
        </w:rPr>
        <w:t>通用样品槽，无需更换模块，适用</w:t>
      </w:r>
      <w:r>
        <w:rPr>
          <w:rFonts w:hint="eastAsia" w:cs="Times New Roman" w:asciiTheme="minorEastAsia" w:hAnsiTheme="minorEastAsia" w:eastAsiaTheme="minorEastAsia"/>
          <w:kern w:val="2"/>
        </w:rPr>
        <w:t xml:space="preserve"> 0.1</w:t>
      </w:r>
      <w:r>
        <w:rPr>
          <w:rFonts w:cs="Times New Roman" w:asciiTheme="minorEastAsia" w:hAnsiTheme="minorEastAsia" w:eastAsiaTheme="minorEastAsia"/>
          <w:kern w:val="2"/>
        </w:rPr>
        <w:t>ml/0.2ml PCR 管</w:t>
      </w:r>
      <w:r>
        <w:rPr>
          <w:rFonts w:hint="eastAsia" w:cs="Times New Roman" w:asciiTheme="minorEastAsia" w:hAnsiTheme="minorEastAsia" w:eastAsiaTheme="minorEastAsia"/>
          <w:kern w:val="2"/>
        </w:rPr>
        <w:t>、</w:t>
      </w:r>
      <w:r>
        <w:rPr>
          <w:rFonts w:cs="Times New Roman" w:asciiTheme="minorEastAsia" w:hAnsiTheme="minorEastAsia" w:eastAsiaTheme="minorEastAsia"/>
          <w:kern w:val="2"/>
        </w:rPr>
        <w:t>0.5ml PCR</w:t>
      </w:r>
      <w:r>
        <w:rPr>
          <w:rFonts w:hint="eastAsia" w:cs="Times New Roman" w:asciiTheme="minorEastAsia" w:hAnsiTheme="minorEastAsia" w:eastAsiaTheme="minorEastAsia"/>
          <w:kern w:val="2"/>
        </w:rPr>
        <w:t xml:space="preserve">   </w:t>
      </w:r>
      <w:r>
        <w:rPr>
          <w:rFonts w:cs="Times New Roman" w:asciiTheme="minorEastAsia" w:hAnsiTheme="minorEastAsia" w:eastAsiaTheme="minorEastAsia"/>
          <w:kern w:val="2"/>
        </w:rPr>
        <w:t>管</w:t>
      </w:r>
      <w:r>
        <w:rPr>
          <w:rFonts w:hint="eastAsia" w:cs="Times New Roman" w:asciiTheme="minorEastAsia" w:hAnsiTheme="minorEastAsia" w:eastAsiaTheme="minorEastAsia"/>
          <w:kern w:val="2"/>
        </w:rPr>
        <w:t xml:space="preserve"> 、8 联管及 </w:t>
      </w:r>
      <w:r>
        <w:rPr>
          <w:rFonts w:cs="Times New Roman" w:asciiTheme="minorEastAsia" w:hAnsiTheme="minorEastAsia" w:eastAsiaTheme="minorEastAsia"/>
          <w:kern w:val="2"/>
        </w:rPr>
        <w:t>96</w:t>
      </w:r>
      <w:r>
        <w:rPr>
          <w:rFonts w:hint="eastAsia" w:cs="Times New Roman" w:asciiTheme="minorEastAsia" w:hAnsiTheme="minorEastAsia" w:eastAsiaTheme="minorEastAsia"/>
          <w:kern w:val="2"/>
        </w:rPr>
        <w:t xml:space="preserve"> </w:t>
      </w:r>
      <w:r>
        <w:rPr>
          <w:rFonts w:cs="Times New Roman" w:asciiTheme="minorEastAsia" w:hAnsiTheme="minorEastAsia" w:eastAsiaTheme="minorEastAsia"/>
          <w:kern w:val="2"/>
        </w:rPr>
        <w:t>孔PCR</w:t>
      </w:r>
      <w:r>
        <w:rPr>
          <w:rFonts w:hint="eastAsia" w:cs="Times New Roman" w:asciiTheme="minorEastAsia" w:hAnsiTheme="minorEastAsia" w:eastAsiaTheme="minorEastAsia"/>
          <w:kern w:val="2"/>
        </w:rPr>
        <w:t xml:space="preserve"> </w:t>
      </w:r>
      <w:r>
        <w:rPr>
          <w:rFonts w:cs="Times New Roman" w:asciiTheme="minorEastAsia" w:hAnsiTheme="minorEastAsia" w:eastAsiaTheme="minorEastAsia"/>
          <w:kern w:val="2"/>
        </w:rPr>
        <w:t xml:space="preserve">板 </w:t>
      </w:r>
    </w:p>
    <w:p>
      <w:pPr>
        <w:pStyle w:val="14"/>
        <w:spacing w:line="0" w:lineRule="atLeast"/>
        <w:ind w:left="882" w:leftChars="128" w:hanging="600" w:hangingChars="2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3、</w:t>
      </w:r>
      <w:r>
        <w:rPr>
          <w:rFonts w:cs="Times New Roman" w:asciiTheme="minorEastAsia" w:hAnsiTheme="minorEastAsia" w:eastAsiaTheme="minorEastAsia"/>
          <w:kern w:val="2"/>
        </w:rPr>
        <w:t>升降温速率：升温</w:t>
      </w:r>
      <w:r>
        <w:rPr>
          <w:rFonts w:hint="eastAsia" w:cs="Times New Roman" w:asciiTheme="minorEastAsia" w:hAnsiTheme="minorEastAsia" w:eastAsiaTheme="minorEastAsia"/>
          <w:kern w:val="2"/>
        </w:rPr>
        <w:t xml:space="preserve"> </w:t>
      </w:r>
      <w:r>
        <w:rPr>
          <w:rFonts w:cs="Times New Roman" w:asciiTheme="minorEastAsia" w:hAnsiTheme="minorEastAsia" w:eastAsiaTheme="minorEastAsia"/>
          <w:kern w:val="2"/>
        </w:rPr>
        <w:t>3℃/秒，降温</w:t>
      </w:r>
      <w:r>
        <w:rPr>
          <w:rFonts w:hint="eastAsia" w:cs="Times New Roman" w:asciiTheme="minorEastAsia" w:hAnsiTheme="minorEastAsia" w:eastAsiaTheme="minorEastAsia"/>
          <w:kern w:val="2"/>
        </w:rPr>
        <w:t xml:space="preserve"> </w:t>
      </w:r>
      <w:r>
        <w:rPr>
          <w:rFonts w:cs="Times New Roman" w:asciiTheme="minorEastAsia" w:hAnsiTheme="minorEastAsia" w:eastAsiaTheme="minorEastAsia"/>
          <w:kern w:val="2"/>
        </w:rPr>
        <w:t>2℃/秒</w:t>
      </w:r>
    </w:p>
    <w:p>
      <w:pPr>
        <w:pStyle w:val="14"/>
        <w:spacing w:line="0" w:lineRule="atLeast"/>
        <w:ind w:left="882" w:leftChars="128" w:hanging="600" w:hangingChars="2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4、</w:t>
      </w:r>
      <w:r>
        <w:rPr>
          <w:rFonts w:cs="Times New Roman" w:asciiTheme="minorEastAsia" w:hAnsiTheme="minorEastAsia" w:eastAsiaTheme="minorEastAsia"/>
          <w:kern w:val="2"/>
        </w:rPr>
        <w:t>模块温控范围：4－99℃</w:t>
      </w:r>
    </w:p>
    <w:p>
      <w:pPr>
        <w:pStyle w:val="14"/>
        <w:spacing w:line="0" w:lineRule="atLeast"/>
        <w:ind w:left="882" w:leftChars="128" w:hanging="600" w:hangingChars="250"/>
        <w:rPr>
          <w:rFonts w:cs="Times New Roman" w:asciiTheme="minorEastAsia" w:hAnsiTheme="minorEastAsia" w:eastAsiaTheme="minorEastAsia"/>
          <w:kern w:val="2"/>
        </w:rPr>
      </w:pPr>
      <w:r>
        <w:rPr>
          <w:rFonts w:hint="eastAsia" w:asciiTheme="minorEastAsia" w:hAnsiTheme="minorEastAsia" w:eastAsiaTheme="minorEastAsia"/>
          <w:bCs/>
        </w:rPr>
        <w:t>★</w:t>
      </w:r>
      <w:r>
        <w:rPr>
          <w:rFonts w:hint="eastAsia" w:cs="Times New Roman" w:asciiTheme="minorEastAsia" w:hAnsiTheme="minorEastAsia" w:eastAsiaTheme="minorEastAsia"/>
          <w:kern w:val="2"/>
        </w:rPr>
        <w:t>5、</w:t>
      </w:r>
      <w:r>
        <w:rPr>
          <w:rFonts w:cs="Times New Roman" w:asciiTheme="minorEastAsia" w:hAnsiTheme="minorEastAsia" w:eastAsiaTheme="minorEastAsia"/>
          <w:kern w:val="2"/>
        </w:rPr>
        <w:t>温控精确度：±0.2℃</w:t>
      </w:r>
    </w:p>
    <w:p>
      <w:pPr>
        <w:pStyle w:val="14"/>
        <w:spacing w:line="0" w:lineRule="atLeast"/>
        <w:ind w:left="882" w:leftChars="128" w:hanging="600" w:hangingChars="250"/>
        <w:rPr>
          <w:rFonts w:cs="Times New Roman" w:asciiTheme="minorEastAsia" w:hAnsiTheme="minorEastAsia" w:eastAsiaTheme="minorEastAsia"/>
          <w:kern w:val="2"/>
        </w:rPr>
      </w:pPr>
      <w:r>
        <w:rPr>
          <w:rFonts w:hint="eastAsia" w:asciiTheme="minorEastAsia" w:hAnsiTheme="minorEastAsia" w:eastAsiaTheme="minorEastAsia"/>
          <w:bCs/>
        </w:rPr>
        <w:t>★</w:t>
      </w:r>
      <w:r>
        <w:rPr>
          <w:rFonts w:hint="eastAsia" w:cs="Times New Roman" w:asciiTheme="minorEastAsia" w:hAnsiTheme="minorEastAsia" w:eastAsiaTheme="minorEastAsia"/>
          <w:kern w:val="2"/>
        </w:rPr>
        <w:t>6、</w:t>
      </w:r>
      <w:r>
        <w:rPr>
          <w:rFonts w:cs="Times New Roman" w:asciiTheme="minorEastAsia" w:hAnsiTheme="minorEastAsia" w:eastAsiaTheme="minorEastAsia"/>
          <w:kern w:val="2"/>
        </w:rPr>
        <w:t>梯度技术</w:t>
      </w:r>
      <w:r>
        <w:rPr>
          <w:rFonts w:hint="eastAsia" w:cs="Times New Roman" w:asciiTheme="minorEastAsia" w:hAnsiTheme="minorEastAsia" w:eastAsiaTheme="minorEastAsia"/>
          <w:kern w:val="2"/>
        </w:rPr>
        <w:t>，</w:t>
      </w:r>
      <w:r>
        <w:rPr>
          <w:rFonts w:cs="Times New Roman" w:asciiTheme="minorEastAsia" w:hAnsiTheme="minorEastAsia" w:eastAsiaTheme="minorEastAsia"/>
          <w:kern w:val="2"/>
        </w:rPr>
        <w:t>12</w:t>
      </w:r>
      <w:r>
        <w:rPr>
          <w:rFonts w:hint="eastAsia" w:cs="Times New Roman" w:asciiTheme="minorEastAsia" w:hAnsiTheme="minorEastAsia" w:eastAsiaTheme="minorEastAsia"/>
          <w:kern w:val="2"/>
        </w:rPr>
        <w:t xml:space="preserve"> 列温度</w:t>
      </w:r>
      <w:r>
        <w:rPr>
          <w:rFonts w:cs="Times New Roman" w:asciiTheme="minorEastAsia" w:hAnsiTheme="minorEastAsia" w:eastAsiaTheme="minorEastAsia"/>
          <w:kern w:val="2"/>
        </w:rPr>
        <w:t>梯度，梯度范围</w:t>
      </w:r>
      <w:r>
        <w:rPr>
          <w:rFonts w:hint="eastAsia" w:cs="Times New Roman" w:asciiTheme="minorEastAsia" w:hAnsiTheme="minorEastAsia" w:eastAsiaTheme="minorEastAsia"/>
          <w:kern w:val="2"/>
        </w:rPr>
        <w:t xml:space="preserve"> </w:t>
      </w:r>
      <w:r>
        <w:rPr>
          <w:rFonts w:cs="Times New Roman" w:asciiTheme="minorEastAsia" w:hAnsiTheme="minorEastAsia" w:eastAsiaTheme="minorEastAsia"/>
          <w:kern w:val="2"/>
        </w:rPr>
        <w:t>1-20℃</w:t>
      </w:r>
    </w:p>
    <w:p>
      <w:pPr>
        <w:pStyle w:val="14"/>
        <w:spacing w:line="0" w:lineRule="atLeast"/>
        <w:ind w:left="882" w:leftChars="128" w:hanging="600" w:hangingChars="2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7、</w:t>
      </w:r>
      <w:r>
        <w:rPr>
          <w:rFonts w:cs="Times New Roman" w:asciiTheme="minorEastAsia" w:hAnsiTheme="minorEastAsia" w:eastAsiaTheme="minorEastAsia"/>
          <w:kern w:val="2"/>
        </w:rPr>
        <w:t>温控模块</w:t>
      </w:r>
      <w:r>
        <w:rPr>
          <w:rFonts w:hint="eastAsia" w:cs="Times New Roman" w:asciiTheme="minorEastAsia" w:hAnsiTheme="minorEastAsia" w:eastAsiaTheme="minorEastAsia"/>
          <w:kern w:val="2"/>
        </w:rPr>
        <w:t>采用</w:t>
      </w:r>
      <w:r>
        <w:rPr>
          <w:rFonts w:cs="Times New Roman" w:asciiTheme="minorEastAsia" w:hAnsiTheme="minorEastAsia" w:eastAsiaTheme="minorEastAsia"/>
          <w:kern w:val="2"/>
        </w:rPr>
        <w:t>三组回路技术</w:t>
      </w:r>
    </w:p>
    <w:p>
      <w:pPr>
        <w:pStyle w:val="14"/>
        <w:spacing w:line="0" w:lineRule="atLeast"/>
        <w:rPr>
          <w:rFonts w:cs="Times New Roman" w:asciiTheme="minorEastAsia" w:hAnsiTheme="minorEastAsia" w:eastAsiaTheme="minorEastAsia"/>
          <w:kern w:val="2"/>
        </w:rPr>
      </w:pPr>
      <w:r>
        <w:rPr>
          <w:rFonts w:hint="eastAsia" w:asciiTheme="minorEastAsia" w:hAnsiTheme="minorEastAsia" w:eastAsiaTheme="minorEastAsia"/>
          <w:bCs/>
        </w:rPr>
        <w:t>★</w:t>
      </w:r>
      <w:r>
        <w:rPr>
          <w:rFonts w:hint="eastAsia" w:cs="Times New Roman" w:asciiTheme="minorEastAsia" w:hAnsiTheme="minorEastAsia" w:eastAsiaTheme="minorEastAsia"/>
          <w:kern w:val="2"/>
        </w:rPr>
        <w:t>8、</w:t>
      </w:r>
      <w:r>
        <w:rPr>
          <w:rFonts w:cs="Times New Roman" w:asciiTheme="minorEastAsia" w:hAnsiTheme="minorEastAsia" w:eastAsiaTheme="minorEastAsia"/>
          <w:kern w:val="2"/>
        </w:rPr>
        <w:t>热盖可自动调节高度</w:t>
      </w:r>
      <w:r>
        <w:rPr>
          <w:rFonts w:hint="eastAsia" w:cs="Times New Roman" w:asciiTheme="minorEastAsia" w:hAnsiTheme="minorEastAsia" w:eastAsiaTheme="minorEastAsia"/>
          <w:kern w:val="2"/>
        </w:rPr>
        <w:t>，适应不同耗材</w:t>
      </w:r>
    </w:p>
    <w:p>
      <w:pPr>
        <w:pStyle w:val="14"/>
        <w:spacing w:line="0" w:lineRule="atLeast"/>
        <w:rPr>
          <w:rFonts w:cs="Times New Roman" w:asciiTheme="minorEastAsia" w:hAnsiTheme="minorEastAsia" w:eastAsiaTheme="minorEastAsia"/>
          <w:kern w:val="2"/>
        </w:rPr>
      </w:pPr>
      <w:r>
        <w:rPr>
          <w:rFonts w:hint="eastAsia" w:asciiTheme="minorEastAsia" w:hAnsiTheme="minorEastAsia" w:eastAsiaTheme="minorEastAsia"/>
          <w:bCs/>
        </w:rPr>
        <w:t>★</w:t>
      </w:r>
      <w:r>
        <w:rPr>
          <w:rFonts w:hint="eastAsia" w:cs="Times New Roman" w:asciiTheme="minorEastAsia" w:hAnsiTheme="minorEastAsia" w:eastAsiaTheme="minorEastAsia"/>
          <w:kern w:val="2"/>
        </w:rPr>
        <w:t>9、</w:t>
      </w:r>
      <w:r>
        <w:rPr>
          <w:rFonts w:cs="Times New Roman" w:asciiTheme="minorEastAsia" w:hAnsiTheme="minorEastAsia" w:eastAsiaTheme="minorEastAsia"/>
          <w:kern w:val="2"/>
        </w:rPr>
        <w:t>仪器可存储</w:t>
      </w:r>
      <w:r>
        <w:rPr>
          <w:rFonts w:hint="eastAsia" w:cs="Times New Roman" w:asciiTheme="minorEastAsia" w:hAnsiTheme="minorEastAsia" w:eastAsiaTheme="minorEastAsia"/>
          <w:kern w:val="2"/>
        </w:rPr>
        <w:t xml:space="preserve"> </w:t>
      </w:r>
      <w:r>
        <w:rPr>
          <w:rFonts w:cs="Times New Roman" w:asciiTheme="minorEastAsia" w:hAnsiTheme="minorEastAsia" w:eastAsiaTheme="minorEastAsia"/>
          <w:kern w:val="2"/>
        </w:rPr>
        <w:t>700</w:t>
      </w:r>
      <w:r>
        <w:rPr>
          <w:rFonts w:hint="eastAsia" w:cs="Times New Roman" w:asciiTheme="minorEastAsia" w:hAnsiTheme="minorEastAsia" w:eastAsiaTheme="minorEastAsia"/>
          <w:kern w:val="2"/>
        </w:rPr>
        <w:t xml:space="preserve"> </w:t>
      </w:r>
      <w:r>
        <w:rPr>
          <w:rFonts w:cs="Times New Roman" w:asciiTheme="minorEastAsia" w:hAnsiTheme="minorEastAsia" w:eastAsiaTheme="minorEastAsia"/>
          <w:kern w:val="2"/>
        </w:rPr>
        <w:t>个应用程序，可通过</w:t>
      </w:r>
      <w:r>
        <w:rPr>
          <w:rFonts w:hint="eastAsia" w:cs="Times New Roman" w:asciiTheme="minorEastAsia" w:hAnsiTheme="minorEastAsia" w:eastAsiaTheme="minorEastAsia"/>
          <w:kern w:val="2"/>
        </w:rPr>
        <w:t xml:space="preserve"> </w:t>
      </w:r>
      <w:r>
        <w:rPr>
          <w:rFonts w:cs="Times New Roman" w:asciiTheme="minorEastAsia" w:hAnsiTheme="minorEastAsia" w:eastAsiaTheme="minorEastAsia"/>
          <w:kern w:val="2"/>
        </w:rPr>
        <w:t>USB</w:t>
      </w:r>
      <w:r>
        <w:rPr>
          <w:rFonts w:hint="eastAsia" w:cs="Times New Roman" w:asciiTheme="minorEastAsia" w:hAnsiTheme="minorEastAsia" w:eastAsiaTheme="minorEastAsia"/>
          <w:kern w:val="2"/>
        </w:rPr>
        <w:t xml:space="preserve"> 外接设备</w:t>
      </w:r>
      <w:r>
        <w:rPr>
          <w:rFonts w:cs="Times New Roman" w:asciiTheme="minorEastAsia" w:hAnsiTheme="minorEastAsia" w:eastAsiaTheme="minorEastAsia"/>
          <w:kern w:val="2"/>
        </w:rPr>
        <w:t>无限扩展</w:t>
      </w:r>
    </w:p>
    <w:p>
      <w:pPr>
        <w:pStyle w:val="14"/>
        <w:spacing w:line="0" w:lineRule="atLeast"/>
        <w:ind w:left="882" w:leftChars="128" w:hanging="600" w:hangingChars="2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10、静音运行，噪音水平≤40分贝</w:t>
      </w:r>
    </w:p>
    <w:p>
      <w:pPr>
        <w:pStyle w:val="14"/>
        <w:spacing w:line="0" w:lineRule="atLeast"/>
        <w:ind w:left="882" w:leftChars="128" w:hanging="600" w:hangingChars="250"/>
        <w:rPr>
          <w:rFonts w:cs="Times New Roman" w:asciiTheme="minorEastAsia" w:hAnsiTheme="minorEastAsia" w:eastAsiaTheme="minorEastAsia"/>
          <w:b/>
          <w:bCs/>
          <w:kern w:val="2"/>
          <w:sz w:val="28"/>
          <w:szCs w:val="28"/>
        </w:rPr>
      </w:pPr>
      <w:r>
        <w:rPr>
          <w:rFonts w:hint="eastAsia" w:cs="Times New Roman" w:asciiTheme="minorEastAsia" w:hAnsiTheme="minorEastAsia" w:eastAsiaTheme="minorEastAsia"/>
          <w:kern w:val="2"/>
        </w:rPr>
        <w:t>11、</w:t>
      </w:r>
      <w:r>
        <w:rPr>
          <w:rFonts w:cs="Times New Roman" w:asciiTheme="minorEastAsia" w:hAnsiTheme="minorEastAsia" w:eastAsiaTheme="minorEastAsia"/>
          <w:kern w:val="2"/>
        </w:rPr>
        <w:t>设有断电自动重启选项</w:t>
      </w:r>
    </w:p>
    <w:p>
      <w:pPr>
        <w:pStyle w:val="14"/>
        <w:spacing w:line="0" w:lineRule="atLeast"/>
        <w:ind w:left="985" w:leftChars="128" w:hanging="703" w:hangingChars="250"/>
        <w:rPr>
          <w:rFonts w:cs="Times New Roman" w:asciiTheme="minorEastAsia" w:hAnsiTheme="minorEastAsia" w:eastAsiaTheme="minorEastAsia"/>
          <w:b/>
          <w:bCs/>
          <w:kern w:val="2"/>
          <w:sz w:val="28"/>
          <w:szCs w:val="28"/>
        </w:rPr>
      </w:pPr>
      <w:r>
        <w:rPr>
          <w:rFonts w:hint="eastAsia" w:cs="Times New Roman" w:asciiTheme="minorEastAsia" w:hAnsiTheme="minorEastAsia" w:eastAsiaTheme="minorEastAsia"/>
          <w:b/>
          <w:bCs/>
          <w:kern w:val="2"/>
          <w:sz w:val="28"/>
          <w:szCs w:val="28"/>
        </w:rPr>
        <w:t>（3）超低温冰箱，数量：1台；</w:t>
      </w:r>
    </w:p>
    <w:p>
      <w:pPr>
        <w:pStyle w:val="14"/>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1、控温范围：－50°C～－85°C，调节精度：±1°C</w:t>
      </w:r>
    </w:p>
    <w:p>
      <w:pPr>
        <w:pStyle w:val="14"/>
        <w:spacing w:line="0" w:lineRule="atLeast"/>
        <w:rPr>
          <w:rFonts w:cs="Times New Roman" w:asciiTheme="minorEastAsia" w:hAnsiTheme="minorEastAsia" w:eastAsiaTheme="minorEastAsia"/>
          <w:kern w:val="2"/>
        </w:rPr>
      </w:pPr>
      <w:r>
        <w:rPr>
          <w:rFonts w:hint="eastAsia" w:asciiTheme="minorEastAsia" w:hAnsiTheme="minorEastAsia" w:eastAsiaTheme="minorEastAsia"/>
          <w:bCs/>
        </w:rPr>
        <w:t xml:space="preserve">   ★</w:t>
      </w:r>
      <w:r>
        <w:rPr>
          <w:rFonts w:hint="eastAsia" w:cs="Times New Roman" w:asciiTheme="minorEastAsia" w:hAnsiTheme="minorEastAsia" w:eastAsiaTheme="minorEastAsia"/>
          <w:kern w:val="2"/>
        </w:rPr>
        <w:t>2、容积（升）≥ 410L，隔间≥ 5个</w:t>
      </w:r>
    </w:p>
    <w:p>
      <w:pPr>
        <w:pStyle w:val="14"/>
        <w:spacing w:line="0" w:lineRule="atLeast"/>
        <w:rPr>
          <w:rFonts w:cs="Times New Roman" w:asciiTheme="minorEastAsia" w:hAnsiTheme="minorEastAsia" w:eastAsiaTheme="minorEastAsia"/>
          <w:kern w:val="2"/>
        </w:rPr>
      </w:pPr>
      <w:r>
        <w:rPr>
          <w:rFonts w:hint="eastAsia" w:cs="Times New Roman" w:asciiTheme="minorEastAsia" w:hAnsiTheme="minorEastAsia" w:eastAsiaTheme="minorEastAsia"/>
          <w:kern w:val="2"/>
        </w:rPr>
        <w:t xml:space="preserve">   </w:t>
      </w:r>
      <w:r>
        <w:rPr>
          <w:rFonts w:hint="eastAsia" w:asciiTheme="minorEastAsia" w:hAnsiTheme="minorEastAsia" w:eastAsiaTheme="minorEastAsia"/>
          <w:bCs/>
        </w:rPr>
        <w:t>★</w:t>
      </w:r>
      <w:r>
        <w:rPr>
          <w:rFonts w:hint="eastAsia" w:cs="Times New Roman" w:asciiTheme="minorEastAsia" w:hAnsiTheme="minorEastAsia" w:eastAsiaTheme="minorEastAsia"/>
          <w:kern w:val="2"/>
        </w:rPr>
        <w:t>3、制冷速度（空箱状态，环境温度降至 -85℃）：≤</w:t>
      </w:r>
      <w:r>
        <w:rPr>
          <w:rFonts w:cs="Times New Roman" w:asciiTheme="minorEastAsia" w:hAnsiTheme="minorEastAsia" w:eastAsiaTheme="minorEastAsia"/>
          <w:kern w:val="2"/>
        </w:rPr>
        <w:t>5.</w:t>
      </w:r>
      <w:r>
        <w:rPr>
          <w:rFonts w:hint="eastAsia" w:cs="Times New Roman" w:asciiTheme="minorEastAsia" w:hAnsiTheme="minorEastAsia" w:eastAsiaTheme="minorEastAsia"/>
          <w:kern w:val="2"/>
        </w:rPr>
        <w:t>6</w:t>
      </w:r>
      <w:r>
        <w:rPr>
          <w:rFonts w:cs="Times New Roman" w:asciiTheme="minorEastAsia" w:hAnsiTheme="minorEastAsia" w:eastAsiaTheme="minorEastAsia"/>
          <w:kern w:val="2"/>
        </w:rPr>
        <w:t xml:space="preserve"> </w:t>
      </w:r>
      <w:r>
        <w:rPr>
          <w:rFonts w:hint="eastAsia" w:cs="Times New Roman" w:asciiTheme="minorEastAsia" w:hAnsiTheme="minorEastAsia" w:eastAsiaTheme="minorEastAsia"/>
          <w:kern w:val="2"/>
        </w:rPr>
        <w:t>小时</w:t>
      </w:r>
    </w:p>
    <w:p>
      <w:pPr>
        <w:pStyle w:val="14"/>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4、24小时耗电量(设置－80°C)≤</w:t>
      </w:r>
      <w:r>
        <w:rPr>
          <w:rFonts w:cs="Times New Roman" w:asciiTheme="minorEastAsia" w:hAnsiTheme="minorEastAsia" w:eastAsiaTheme="minorEastAsia"/>
          <w:kern w:val="2"/>
        </w:rPr>
        <w:t>1</w:t>
      </w:r>
      <w:r>
        <w:rPr>
          <w:rFonts w:hint="eastAsia" w:cs="Times New Roman" w:asciiTheme="minorEastAsia" w:hAnsiTheme="minorEastAsia" w:eastAsiaTheme="minorEastAsia"/>
          <w:kern w:val="2"/>
        </w:rPr>
        <w:t>1kw</w:t>
      </w:r>
    </w:p>
    <w:p>
      <w:pPr>
        <w:pStyle w:val="14"/>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5、噪音：59 分贝</w:t>
      </w:r>
    </w:p>
    <w:p>
      <w:pPr>
        <w:pStyle w:val="14"/>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 xml:space="preserve">6、排热量：450W </w:t>
      </w:r>
      <w:r>
        <w:rPr>
          <w:rFonts w:cs="Times New Roman" w:asciiTheme="minorEastAsia" w:hAnsiTheme="minorEastAsia" w:eastAsiaTheme="minorEastAsia"/>
          <w:kern w:val="2"/>
        </w:rPr>
        <w:t>(1530 BTU/</w:t>
      </w:r>
      <w:r>
        <w:rPr>
          <w:rFonts w:hint="eastAsia" w:cs="Times New Roman" w:asciiTheme="minorEastAsia" w:hAnsiTheme="minorEastAsia" w:eastAsiaTheme="minorEastAsia"/>
          <w:kern w:val="2"/>
        </w:rPr>
        <w:t>小时</w:t>
      </w:r>
      <w:r>
        <w:rPr>
          <w:rFonts w:cs="Times New Roman" w:asciiTheme="minorEastAsia" w:hAnsiTheme="minorEastAsia" w:eastAsiaTheme="minorEastAsia"/>
          <w:kern w:val="2"/>
        </w:rPr>
        <w:t>)</w:t>
      </w:r>
    </w:p>
    <w:p>
      <w:pPr>
        <w:pStyle w:val="14"/>
        <w:spacing w:line="0" w:lineRule="atLeast"/>
        <w:rPr>
          <w:rFonts w:cs="Times New Roman" w:asciiTheme="minorEastAsia" w:hAnsiTheme="minorEastAsia" w:eastAsiaTheme="minorEastAsia"/>
          <w:kern w:val="2"/>
        </w:rPr>
      </w:pPr>
      <w:r>
        <w:rPr>
          <w:rFonts w:hint="eastAsia" w:cs="Times New Roman" w:asciiTheme="minorEastAsia" w:hAnsiTheme="minorEastAsia" w:eastAsiaTheme="minorEastAsia"/>
          <w:kern w:val="2"/>
        </w:rPr>
        <w:t xml:space="preserve">   ★7、</w:t>
      </w:r>
      <w:r>
        <w:rPr>
          <w:rFonts w:hint="eastAsia"/>
        </w:rPr>
        <w:t xml:space="preserve">冰箱外部宽度：≤ </w:t>
      </w:r>
      <w:r>
        <w:t>8</w:t>
      </w:r>
      <w:r>
        <w:rPr>
          <w:rFonts w:hint="eastAsia"/>
        </w:rPr>
        <w:t>0</w:t>
      </w:r>
      <w:r>
        <w:t>0m</w:t>
      </w:r>
      <w:r>
        <w:rPr>
          <w:rFonts w:hint="eastAsia"/>
        </w:rPr>
        <w:t>m，外部高度 ≤ 1950mm</w:t>
      </w:r>
    </w:p>
    <w:p>
      <w:pPr>
        <w:pStyle w:val="14"/>
        <w:spacing w:line="0" w:lineRule="atLeast"/>
        <w:rPr>
          <w:rFonts w:cs="Times New Roman" w:asciiTheme="minorEastAsia" w:hAnsiTheme="minorEastAsia" w:eastAsiaTheme="minorEastAsia"/>
          <w:kern w:val="2"/>
        </w:rPr>
      </w:pPr>
      <w:r>
        <w:rPr>
          <w:rFonts w:hint="eastAsia" w:cs="Times New Roman" w:asciiTheme="minorEastAsia" w:hAnsiTheme="minorEastAsia" w:eastAsiaTheme="minorEastAsia"/>
          <w:kern w:val="2"/>
        </w:rPr>
        <w:t xml:space="preserve">   ★8、绝热材料：聚氨酯泡沫，厚度</w:t>
      </w:r>
      <w:r>
        <w:rPr>
          <w:rFonts w:hint="eastAsia"/>
        </w:rPr>
        <w:t>≥</w:t>
      </w:r>
      <w:r>
        <w:rPr>
          <w:rFonts w:hint="eastAsia" w:cs="Times New Roman" w:asciiTheme="minorEastAsia" w:hAnsiTheme="minorEastAsia" w:eastAsiaTheme="minorEastAsia"/>
          <w:kern w:val="2"/>
        </w:rPr>
        <w:t>130mm</w:t>
      </w:r>
    </w:p>
    <w:p>
      <w:pPr>
        <w:pStyle w:val="14"/>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9、微处理器控制，实时显示监测冰箱运行状态及各种报警，断电重启后自回复先前设定</w:t>
      </w:r>
    </w:p>
    <w:p>
      <w:pPr>
        <w:pStyle w:val="14"/>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10、报警系统及自我诊断：声光显示断电报警、温度报警、过滤网报警等，自检软件标示故障代码，实现快速诊断</w:t>
      </w:r>
    </w:p>
    <w:p>
      <w:pPr>
        <w:pStyle w:val="14"/>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11、制冷系统：二级复叠制冷系统，2个独立压缩机组的级联式循环方式，级间热交换器，高效的气冷式高温极冷凝器</w:t>
      </w:r>
    </w:p>
    <w:p>
      <w:pPr>
        <w:pStyle w:val="14"/>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12、具有真空释放孔：破除冰封，防止负压产生，方便开门</w:t>
      </w:r>
    </w:p>
    <w:p>
      <w:pPr>
        <w:pStyle w:val="14"/>
        <w:spacing w:line="0" w:lineRule="atLeast"/>
        <w:ind w:left="881" w:leftChars="237" w:hanging="360" w:hangingChars="150"/>
      </w:pPr>
      <w:r>
        <w:rPr>
          <w:rFonts w:hint="eastAsia" w:cs="Times New Roman" w:asciiTheme="minorEastAsia" w:hAnsiTheme="minorEastAsia" w:eastAsiaTheme="minorEastAsia"/>
          <w:kern w:val="2"/>
        </w:rPr>
        <w:t>13、</w:t>
      </w:r>
      <w:r>
        <w:rPr>
          <w:rFonts w:hint="eastAsia"/>
        </w:rPr>
        <w:t>备用电池，确保断电情况下报警及控制系统的正常运行</w:t>
      </w:r>
    </w:p>
    <w:p>
      <w:pPr>
        <w:spacing w:after="0"/>
        <w:rPr>
          <w:rFonts w:ascii="Times New Roman" w:hAnsi="Times New Roman" w:eastAsia="宋体" w:cs="Times New Roman"/>
        </w:rPr>
      </w:pP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4"/>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技术培训：卖方负责派专业技术人员到学校进行集中培训，使其能熟练掌握仪器的各项性能（包括硬件和软件），时间不少于三天。在仪器使用集中培训以后，若买方仍有技术问题，卖方在任何时候，都应在48小时以内提供详细技术方案并予以解决。</w:t>
      </w:r>
    </w:p>
    <w:p>
      <w:pPr>
        <w:pStyle w:val="14"/>
        <w:spacing w:line="0" w:lineRule="atLeast"/>
        <w:ind w:left="982" w:leftChars="128" w:hanging="700" w:hangingChars="250"/>
        <w:rPr>
          <w:rFonts w:cs="Times New Roman" w:asciiTheme="minorEastAsia" w:hAnsiTheme="minorEastAsia" w:eastAsiaTheme="minorEastAsia"/>
          <w:b/>
          <w:bCs/>
          <w:kern w:val="2"/>
          <w:sz w:val="28"/>
          <w:szCs w:val="28"/>
        </w:rPr>
      </w:pPr>
      <w:r>
        <w:rPr>
          <w:rFonts w:hint="eastAsia" w:cs="Times New Roman" w:asciiTheme="minorEastAsia" w:hAnsiTheme="minorEastAsia" w:eastAsiaTheme="minorEastAsia"/>
          <w:kern w:val="2"/>
          <w:sz w:val="28"/>
          <w:szCs w:val="28"/>
        </w:rPr>
        <w:t>（2）保修期：整个项目（包含所有分项设备）免费质保期1年，自验收合格之日起算，并提供相关承诺书。质保期内发生任何设备损坏，所需要的维修费用（包括零部件费用、维修费用）均由卖方承担（人为操作不当造成的损坏除外）。</w:t>
      </w:r>
      <w:r>
        <w:rPr>
          <w:rFonts w:hint="eastAsia" w:cs="Times New Roman" w:asciiTheme="minorEastAsia" w:hAnsiTheme="minorEastAsia" w:eastAsiaTheme="minorEastAsia"/>
          <w:b/>
          <w:bCs/>
          <w:kern w:val="2"/>
          <w:sz w:val="28"/>
          <w:szCs w:val="28"/>
        </w:rPr>
        <w:t>【备注：请投标方提供对整体项目（包含所有分项设备）的保修期的说明承诺】</w:t>
      </w:r>
    </w:p>
    <w:p>
      <w:pPr>
        <w:pStyle w:val="14"/>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3）维修响应时间：卖方应在国内有专门负责的维修工程师或技术支持工程师。卖方应在2小时内电话响应，在24小时内对用户的服务要求提出解决方案，经确认如有需要，技术人员须在48小时内到达现场；重大问题或其他无法迅速解决的问题应在一周内解决或提出明确解决方案，否则卖方应赔偿相应损失。　</w:t>
      </w:r>
    </w:p>
    <w:p>
      <w:pPr>
        <w:pStyle w:val="14"/>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（4）卖方免费提供由专业工程师现场指导的移机服务，并安装、调试。</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asciiTheme="minorEastAsia" w:hAnsiTheme="minorEastAsia" w:eastAsiaTheme="minorEastAsia"/>
          <w:b/>
          <w:bCs/>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合同签订生效后，进口设备三个月内、国产设备一个月内全部设备、材料运抵现场，并安装、调试结束，验收合格，交付买方使用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4"/>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w:t>
      </w:r>
      <w:r>
        <w:rPr>
          <w:rFonts w:hint="eastAsia" w:cs="Times New Roman"/>
          <w:kern w:val="2"/>
          <w:sz w:val="28"/>
          <w:szCs w:val="28"/>
        </w:rPr>
        <w:t>交付使用要同时向采购人提供详细的技术文件、安装记录等，同时提供两份产品使用说明书。</w:t>
      </w:r>
    </w:p>
    <w:p>
      <w:pPr>
        <w:pStyle w:val="14"/>
        <w:spacing w:line="0" w:lineRule="atLeast"/>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4"/>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pStyle w:val="2"/>
        <w:keepNext w:val="0"/>
        <w:keepLines/>
        <w:spacing w:line="360" w:lineRule="auto"/>
        <w:ind w:firstLine="560" w:firstLineChars="200"/>
        <w:jc w:val="left"/>
        <w:rPr>
          <w:rFonts w:ascii="宋体" w:hAnsi="宋体" w:eastAsia="宋体"/>
          <w:b/>
          <w:bCs/>
          <w:sz w:val="44"/>
          <w:szCs w:val="44"/>
        </w:rPr>
      </w:pPr>
      <w:bookmarkStart w:id="165" w:name="_Toc523931348"/>
      <w:bookmarkStart w:id="166" w:name="_Toc401414769"/>
      <w:r>
        <w:rPr>
          <w:rFonts w:hint="eastAsia" w:ascii="宋体" w:hAnsi="宋体" w:eastAsia="宋体" w:cs="宋体"/>
          <w:szCs w:val="21"/>
        </w:rPr>
        <w:t>货到安装完毕，正常运行后以15天为验收期限，中标价小于等于20万元的设备，验收期满或验收合格后付全款；中标价大于20万元的设备，验收期满或验收合格后支付到合同金额的90%，余10%尾款于正常使用一年后无息支付。</w:t>
      </w: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5"/>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6"/>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17"/>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84"/>
        <w:gridCol w:w="5614"/>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blHeader/>
        </w:trPr>
        <w:tc>
          <w:tcPr>
            <w:tcW w:w="53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序号</w:t>
            </w:r>
          </w:p>
        </w:tc>
        <w:tc>
          <w:tcPr>
            <w:tcW w:w="198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评分因素</w:t>
            </w:r>
          </w:p>
        </w:tc>
        <w:tc>
          <w:tcPr>
            <w:tcW w:w="561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评审细则</w:t>
            </w:r>
          </w:p>
        </w:tc>
        <w:tc>
          <w:tcPr>
            <w:tcW w:w="798"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34"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1</w:t>
            </w:r>
          </w:p>
        </w:tc>
        <w:tc>
          <w:tcPr>
            <w:tcW w:w="1984"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价格</w:t>
            </w:r>
          </w:p>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（30分）</w:t>
            </w:r>
          </w:p>
        </w:tc>
        <w:tc>
          <w:tcPr>
            <w:tcW w:w="5614" w:type="dxa"/>
            <w:vAlign w:val="center"/>
          </w:tcPr>
          <w:p>
            <w:p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本次招标，以进入详细评审的各投标人评标总报价的最低值为A值，A值为价格分的满分，即30分。其他投标人的价格分统一按照以下公式计算：投标人评标价得分=（A／该投标人评标总报价）×30。（分值保留到小数点后两位）</w:t>
            </w:r>
          </w:p>
        </w:tc>
        <w:tc>
          <w:tcPr>
            <w:tcW w:w="798"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 w:hRule="atLeast"/>
        </w:trPr>
        <w:tc>
          <w:tcPr>
            <w:tcW w:w="534" w:type="dxa"/>
            <w:vMerge w:val="restart"/>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2</w:t>
            </w:r>
          </w:p>
        </w:tc>
        <w:tc>
          <w:tcPr>
            <w:tcW w:w="1984" w:type="dxa"/>
            <w:vMerge w:val="restart"/>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技术能力</w:t>
            </w:r>
          </w:p>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（35分）</w:t>
            </w:r>
          </w:p>
        </w:tc>
        <w:tc>
          <w:tcPr>
            <w:tcW w:w="5614" w:type="dxa"/>
            <w:vAlign w:val="center"/>
          </w:tcPr>
          <w:p>
            <w:p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根据各投标产品的先进性、匹配性、可靠性、稳定性以及质量、性能酌情打分，较好4-5分，一般2-3分，其他0-1分。</w:t>
            </w:r>
          </w:p>
        </w:tc>
        <w:tc>
          <w:tcPr>
            <w:tcW w:w="798" w:type="dxa"/>
            <w:vAlign w:val="center"/>
          </w:tcPr>
          <w:p>
            <w:pPr>
              <w:spacing w:line="360" w:lineRule="auto"/>
              <w:ind w:firstLine="115" w:firstLineChars="50"/>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534" w:type="dxa"/>
            <w:vMerge w:val="continue"/>
            <w:vAlign w:val="center"/>
          </w:tcPr>
          <w:p>
            <w:pPr>
              <w:spacing w:line="360" w:lineRule="auto"/>
              <w:jc w:val="center"/>
              <w:rPr>
                <w:rFonts w:asciiTheme="minorEastAsia" w:hAnsiTheme="minorEastAsia" w:eastAsiaTheme="minorEastAsia" w:cstheme="minorEastAsia"/>
                <w:bCs/>
                <w:sz w:val="23"/>
                <w:szCs w:val="23"/>
              </w:rPr>
            </w:pPr>
          </w:p>
        </w:tc>
        <w:tc>
          <w:tcPr>
            <w:tcW w:w="1984" w:type="dxa"/>
            <w:vMerge w:val="continue"/>
            <w:vAlign w:val="center"/>
          </w:tcPr>
          <w:p>
            <w:pPr>
              <w:spacing w:line="360" w:lineRule="auto"/>
              <w:rPr>
                <w:rFonts w:asciiTheme="minorEastAsia" w:hAnsiTheme="minorEastAsia" w:eastAsiaTheme="minorEastAsia" w:cstheme="minorEastAsia"/>
                <w:bCs/>
                <w:sz w:val="23"/>
                <w:szCs w:val="23"/>
              </w:rPr>
            </w:pPr>
          </w:p>
        </w:tc>
        <w:tc>
          <w:tcPr>
            <w:tcW w:w="5614" w:type="dxa"/>
            <w:vAlign w:val="center"/>
          </w:tcPr>
          <w:p>
            <w:p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投标产品对招标文件具体需求的响应程度：</w:t>
            </w:r>
          </w:p>
          <w:p>
            <w:pPr>
              <w:numPr>
                <w:ilvl w:val="0"/>
                <w:numId w:val="4"/>
              </w:num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满足招标文件技术指标、参数要求的得24分（" ★"项的为主要指标，不满足的每项减5分；其他每有一项偏离减2分；负偏离超过6项的不得分。</w:t>
            </w:r>
          </w:p>
          <w:p>
            <w:pPr>
              <w:numPr>
                <w:ilvl w:val="0"/>
                <w:numId w:val="4"/>
              </w:num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 xml:space="preserve">每有一项优于招标文件，经评委会认可的加1分，最多加6分。） </w:t>
            </w:r>
          </w:p>
        </w:tc>
        <w:tc>
          <w:tcPr>
            <w:tcW w:w="798" w:type="dxa"/>
            <w:vAlign w:val="center"/>
          </w:tcPr>
          <w:p>
            <w:pPr>
              <w:spacing w:line="360" w:lineRule="auto"/>
              <w:ind w:firstLine="115" w:firstLineChars="50"/>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9" w:hRule="atLeast"/>
        </w:trPr>
        <w:tc>
          <w:tcPr>
            <w:tcW w:w="534" w:type="dxa"/>
            <w:vMerge w:val="restart"/>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3</w:t>
            </w:r>
          </w:p>
        </w:tc>
        <w:tc>
          <w:tcPr>
            <w:tcW w:w="1984" w:type="dxa"/>
            <w:vMerge w:val="restart"/>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服务</w:t>
            </w:r>
          </w:p>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（20分）</w:t>
            </w:r>
          </w:p>
        </w:tc>
        <w:tc>
          <w:tcPr>
            <w:tcW w:w="5614" w:type="dxa"/>
            <w:vAlign w:val="center"/>
          </w:tcPr>
          <w:p>
            <w:p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售后服务方案：售后服务体系、江苏地区售后服务机构及人员、售后服务承诺、售后服务应答及处理时间，质保期内的售后服务范围、质保期满后的售后服务范围和收费情况、备品备件的承诺。</w:t>
            </w:r>
          </w:p>
          <w:p>
            <w:p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方案完整、合理可行的得9-11分；方案较完整、较合理可行的得5-8分；方案不完整、不合理不可行的得0-4分</w:t>
            </w:r>
          </w:p>
        </w:tc>
        <w:tc>
          <w:tcPr>
            <w:tcW w:w="798"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534" w:type="dxa"/>
            <w:vMerge w:val="continue"/>
            <w:vAlign w:val="center"/>
          </w:tcPr>
          <w:p>
            <w:pPr>
              <w:spacing w:line="360" w:lineRule="auto"/>
              <w:jc w:val="center"/>
              <w:rPr>
                <w:rFonts w:asciiTheme="minorEastAsia" w:hAnsiTheme="minorEastAsia" w:eastAsiaTheme="minorEastAsia" w:cstheme="minorEastAsia"/>
                <w:bCs/>
                <w:sz w:val="23"/>
                <w:szCs w:val="23"/>
              </w:rPr>
            </w:pPr>
          </w:p>
        </w:tc>
        <w:tc>
          <w:tcPr>
            <w:tcW w:w="1984" w:type="dxa"/>
            <w:vMerge w:val="continue"/>
            <w:vAlign w:val="center"/>
          </w:tcPr>
          <w:p>
            <w:pPr>
              <w:spacing w:line="360" w:lineRule="auto"/>
              <w:rPr>
                <w:rFonts w:asciiTheme="minorEastAsia" w:hAnsiTheme="minorEastAsia" w:eastAsiaTheme="minorEastAsia" w:cstheme="minorEastAsia"/>
                <w:bCs/>
                <w:sz w:val="23"/>
                <w:szCs w:val="23"/>
              </w:rPr>
            </w:pPr>
          </w:p>
        </w:tc>
        <w:tc>
          <w:tcPr>
            <w:tcW w:w="5614" w:type="dxa"/>
            <w:vAlign w:val="center"/>
          </w:tcPr>
          <w:p>
            <w:p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培训：对买方操作、维护人员的培训方案及计划。</w:t>
            </w:r>
          </w:p>
        </w:tc>
        <w:tc>
          <w:tcPr>
            <w:tcW w:w="798"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534" w:type="dxa"/>
            <w:vMerge w:val="continue"/>
            <w:vAlign w:val="center"/>
          </w:tcPr>
          <w:p>
            <w:pPr>
              <w:spacing w:line="360" w:lineRule="auto"/>
              <w:jc w:val="center"/>
              <w:rPr>
                <w:rFonts w:asciiTheme="minorEastAsia" w:hAnsiTheme="minorEastAsia" w:eastAsiaTheme="minorEastAsia" w:cstheme="minorEastAsia"/>
                <w:bCs/>
                <w:sz w:val="23"/>
                <w:szCs w:val="23"/>
              </w:rPr>
            </w:pPr>
          </w:p>
        </w:tc>
        <w:tc>
          <w:tcPr>
            <w:tcW w:w="1984" w:type="dxa"/>
            <w:vMerge w:val="continue"/>
            <w:vAlign w:val="center"/>
          </w:tcPr>
          <w:p>
            <w:pPr>
              <w:spacing w:line="360" w:lineRule="auto"/>
              <w:ind w:right="-275" w:rightChars="-125"/>
              <w:jc w:val="center"/>
              <w:rPr>
                <w:rFonts w:asciiTheme="minorEastAsia" w:hAnsiTheme="minorEastAsia" w:eastAsiaTheme="minorEastAsia" w:cstheme="minorEastAsia"/>
                <w:bCs/>
                <w:sz w:val="23"/>
                <w:szCs w:val="23"/>
              </w:rPr>
            </w:pPr>
          </w:p>
        </w:tc>
        <w:tc>
          <w:tcPr>
            <w:tcW w:w="5614" w:type="dxa"/>
            <w:vAlign w:val="center"/>
          </w:tcPr>
          <w:p>
            <w:pPr>
              <w:spacing w:line="360" w:lineRule="auto"/>
              <w:rPr>
                <w:rFonts w:asciiTheme="minorEastAsia" w:hAnsiTheme="minorEastAsia" w:eastAsiaTheme="minorEastAsia" w:cstheme="minorEastAsia"/>
                <w:sz w:val="23"/>
                <w:szCs w:val="23"/>
              </w:rPr>
            </w:pPr>
            <w:r>
              <w:rPr>
                <w:rFonts w:hint="eastAsia" w:ascii="宋体" w:hAnsi="宋体" w:eastAsia="宋体" w:cs="Arial"/>
                <w:bCs/>
              </w:rPr>
              <w:t>免费质保期1年不得分，每多一年得</w:t>
            </w:r>
            <w:r>
              <w:rPr>
                <w:rFonts w:ascii="宋体" w:hAnsi="宋体" w:eastAsia="宋体" w:cs="Arial"/>
                <w:bCs/>
              </w:rPr>
              <w:t>2.</w:t>
            </w:r>
            <w:r>
              <w:rPr>
                <w:rFonts w:hint="eastAsia" w:ascii="宋体" w:hAnsi="宋体" w:eastAsia="宋体" w:cs="Arial"/>
                <w:bCs/>
              </w:rPr>
              <w:t>5分，最高不超过</w:t>
            </w:r>
            <w:r>
              <w:rPr>
                <w:rFonts w:ascii="宋体" w:hAnsi="宋体" w:eastAsia="宋体" w:cs="Arial"/>
                <w:bCs/>
              </w:rPr>
              <w:t>5</w:t>
            </w:r>
            <w:r>
              <w:rPr>
                <w:rFonts w:hint="eastAsia" w:ascii="宋体" w:hAnsi="宋体" w:eastAsia="宋体" w:cs="Arial"/>
                <w:bCs/>
              </w:rPr>
              <w:t>分。【根据所提供整体项目（包含所有分项设备）的质保期承诺予以打分，未提供或者只提供分项设备质保期承诺的不得分】</w:t>
            </w:r>
          </w:p>
        </w:tc>
        <w:tc>
          <w:tcPr>
            <w:tcW w:w="798"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534"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4</w:t>
            </w:r>
          </w:p>
        </w:tc>
        <w:tc>
          <w:tcPr>
            <w:tcW w:w="1984" w:type="dxa"/>
            <w:vAlign w:val="center"/>
          </w:tcPr>
          <w:p>
            <w:pPr>
              <w:spacing w:line="360" w:lineRule="auto"/>
              <w:ind w:right="-275" w:rightChars="-125"/>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业绩（5分）</w:t>
            </w:r>
          </w:p>
        </w:tc>
        <w:tc>
          <w:tcPr>
            <w:tcW w:w="5614" w:type="dxa"/>
            <w:vAlign w:val="center"/>
          </w:tcPr>
          <w:p>
            <w:p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sz w:val="23"/>
                <w:szCs w:val="23"/>
              </w:rPr>
              <w:t>投标人2016年01月01日以来的类似项目业绩，每提供一个得1分，最高得5分。 （请提供有效的加盖公章的合同复印件）</w:t>
            </w:r>
          </w:p>
        </w:tc>
        <w:tc>
          <w:tcPr>
            <w:tcW w:w="798"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534"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5</w:t>
            </w:r>
          </w:p>
        </w:tc>
        <w:tc>
          <w:tcPr>
            <w:tcW w:w="1984"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投标人财务与信誉状况（4分）</w:t>
            </w:r>
          </w:p>
        </w:tc>
        <w:tc>
          <w:tcPr>
            <w:tcW w:w="5614" w:type="dxa"/>
            <w:vAlign w:val="center"/>
          </w:tcPr>
          <w:p>
            <w:p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 xml:space="preserve">对投标人财务、经营状况、企业信誉等级和所获得的荣誉等进行评审。 </w:t>
            </w:r>
          </w:p>
        </w:tc>
        <w:tc>
          <w:tcPr>
            <w:tcW w:w="798"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534"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6</w:t>
            </w:r>
          </w:p>
        </w:tc>
        <w:tc>
          <w:tcPr>
            <w:tcW w:w="1984" w:type="dxa"/>
            <w:vAlign w:val="center"/>
          </w:tcPr>
          <w:p>
            <w:p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对招标文件响应程度（4分）</w:t>
            </w:r>
          </w:p>
        </w:tc>
        <w:tc>
          <w:tcPr>
            <w:tcW w:w="5614" w:type="dxa"/>
            <w:vAlign w:val="center"/>
          </w:tcPr>
          <w:p>
            <w:p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根据投标文件对招标文件商务、技术等要求的响应程度评审。</w:t>
            </w:r>
          </w:p>
        </w:tc>
        <w:tc>
          <w:tcPr>
            <w:tcW w:w="798"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534" w:type="dxa"/>
            <w:vMerge w:val="restart"/>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7</w:t>
            </w:r>
          </w:p>
        </w:tc>
        <w:tc>
          <w:tcPr>
            <w:tcW w:w="1984" w:type="dxa"/>
            <w:vMerge w:val="restart"/>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国家政策导向（2分）</w:t>
            </w:r>
          </w:p>
        </w:tc>
        <w:tc>
          <w:tcPr>
            <w:tcW w:w="5614"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环境标志产品：根据财政部、生态环境部 财库[2019]18号文件精神，投标人所投产品在环境标志产品政府采购品目清单范围内并提供相应认证机构发放的认证证书的得1分。（提供证书复印件并加盖公章，原件备查）</w:t>
            </w:r>
          </w:p>
        </w:tc>
        <w:tc>
          <w:tcPr>
            <w:tcW w:w="798"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534" w:type="dxa"/>
            <w:vMerge w:val="continue"/>
            <w:vAlign w:val="center"/>
          </w:tcPr>
          <w:p>
            <w:pPr>
              <w:spacing w:line="360" w:lineRule="auto"/>
              <w:jc w:val="center"/>
              <w:rPr>
                <w:rFonts w:asciiTheme="minorEastAsia" w:hAnsiTheme="minorEastAsia" w:eastAsiaTheme="minorEastAsia" w:cstheme="minorEastAsia"/>
                <w:bCs/>
                <w:sz w:val="23"/>
                <w:szCs w:val="23"/>
              </w:rPr>
            </w:pPr>
          </w:p>
        </w:tc>
        <w:tc>
          <w:tcPr>
            <w:tcW w:w="1984" w:type="dxa"/>
            <w:vMerge w:val="continue"/>
            <w:vAlign w:val="center"/>
          </w:tcPr>
          <w:p>
            <w:pPr>
              <w:spacing w:line="360" w:lineRule="auto"/>
              <w:jc w:val="center"/>
              <w:rPr>
                <w:rFonts w:asciiTheme="minorEastAsia" w:hAnsiTheme="minorEastAsia" w:eastAsiaTheme="minorEastAsia" w:cstheme="minorEastAsia"/>
                <w:bCs/>
                <w:sz w:val="23"/>
                <w:szCs w:val="23"/>
              </w:rPr>
            </w:pPr>
          </w:p>
        </w:tc>
        <w:tc>
          <w:tcPr>
            <w:tcW w:w="5614"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节能产品：根据财政部、发展改革委 财库[2019]19号文件精神，投标人所投产品在节能产品政府采购品目清单范围内并提供相应认证机构发放的认证证书的得1分。（提供证书复印件并加盖公章，原件备查）</w:t>
            </w:r>
          </w:p>
        </w:tc>
        <w:tc>
          <w:tcPr>
            <w:tcW w:w="798"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1</w:t>
            </w:r>
          </w:p>
        </w:tc>
      </w:tr>
    </w:tbl>
    <w:p>
      <w:pPr>
        <w:spacing w:line="360" w:lineRule="auto"/>
        <w:rPr>
          <w:rFonts w:asciiTheme="minorEastAsia" w:hAnsiTheme="minorEastAsia" w:eastAsiaTheme="minorEastAsia" w:cstheme="minorEastAsia"/>
          <w:bCs/>
          <w:sz w:val="24"/>
          <w:szCs w:val="24"/>
        </w:rPr>
      </w:pPr>
    </w:p>
    <w:bookmarkEnd w:id="166"/>
    <w:p>
      <w:pPr>
        <w:pStyle w:val="2"/>
        <w:pageBreakBefore/>
        <w:ind w:firstLine="1767" w:firstLineChars="400"/>
        <w:jc w:val="both"/>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955039"/>
      <w:bookmarkEnd w:id="168"/>
      <w:bookmarkStart w:id="169" w:name="_Hlt26671244"/>
      <w:bookmarkEnd w:id="169"/>
      <w:bookmarkStart w:id="170" w:name="_Toc49090576"/>
      <w:bookmarkStart w:id="171" w:name="_Toc120614282"/>
      <w:bookmarkStart w:id="172" w:name="_Toc26554094"/>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rPr>
          <w:rFonts w:ascii="宋体" w:hAnsi="宋体"/>
          <w:b/>
          <w:sz w:val="36"/>
          <w:u w:val="single"/>
        </w:rPr>
      </w:pPr>
      <w:r>
        <w:rPr>
          <w:rFonts w:hint="eastAsia" w:ascii="宋体" w:hAnsi="宋体"/>
          <w:b/>
          <w:sz w:val="36"/>
        </w:rPr>
        <w:t xml:space="preserve">    投标人名称：</w:t>
      </w:r>
    </w:p>
    <w:p>
      <w:pPr>
        <w:rPr>
          <w:rFonts w:ascii="宋体" w:hAnsi="宋体"/>
          <w:b/>
          <w:sz w:val="36"/>
        </w:rPr>
      </w:pPr>
      <w:r>
        <w:rPr>
          <w:rFonts w:hint="eastAsia" w:ascii="宋体" w:hAnsi="宋体"/>
          <w:b/>
          <w:sz w:val="36"/>
        </w:rPr>
        <w:t xml:space="preserve">          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6"/>
        <w:ind w:firstLine="0"/>
        <w:jc w:val="center"/>
        <w:rPr>
          <w:b/>
        </w:rPr>
      </w:pPr>
      <w:bookmarkStart w:id="173" w:name="_Toc517190894"/>
      <w:r>
        <w:rPr>
          <w:rFonts w:hint="eastAsia"/>
          <w:b/>
          <w:sz w:val="32"/>
        </w:rPr>
        <w:t>投标函格式</w:t>
      </w:r>
      <w:bookmarkEnd w:id="173"/>
    </w:p>
    <w:p>
      <w:pPr>
        <w:pStyle w:val="26"/>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6"/>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6"/>
        <w:spacing w:before="0" w:after="0" w:line="420" w:lineRule="exact"/>
        <w:ind w:left="440" w:leftChars="200" w:firstLine="3500" w:firstLineChars="1250"/>
        <w:rPr>
          <w:rFonts w:ascii="宋体" w:hAnsi="宋体"/>
          <w:kern w:val="2"/>
          <w:sz w:val="28"/>
          <w:szCs w:val="21"/>
        </w:rPr>
      </w:pPr>
    </w:p>
    <w:p>
      <w:pPr>
        <w:pStyle w:val="26"/>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6"/>
        <w:ind w:firstLine="0"/>
        <w:jc w:val="center"/>
        <w:rPr>
          <w:b/>
          <w:sz w:val="32"/>
        </w:rPr>
      </w:pPr>
      <w:bookmarkStart w:id="174" w:name="_Toc517190895"/>
      <w:r>
        <w:rPr>
          <w:rFonts w:hint="eastAsia"/>
          <w:b/>
          <w:sz w:val="32"/>
        </w:rPr>
        <w:t>法人授权书</w:t>
      </w:r>
      <w:bookmarkEnd w:id="174"/>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2"/>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格式3__银行出具的资信证明"/>
      <w:bookmarkEnd w:id="175"/>
      <w:bookmarkStart w:id="176" w:name="_Hlt26955070"/>
      <w:bookmarkEnd w:id="176"/>
      <w:bookmarkStart w:id="177" w:name="_Hlt26671380"/>
      <w:bookmarkEnd w:id="177"/>
    </w:p>
    <w:p>
      <w:pPr>
        <w:pStyle w:val="3"/>
        <w:rPr>
          <w:rFonts w:asciiTheme="minorEastAsia" w:hAnsiTheme="minorEastAsia" w:eastAsiaTheme="minorEastAsia"/>
          <w:sz w:val="36"/>
        </w:rPr>
      </w:pPr>
    </w:p>
    <w:p>
      <w:pPr>
        <w:pStyle w:val="26"/>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17"/>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6"/>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8"/>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6"/>
        <w:ind w:firstLine="0"/>
        <w:jc w:val="center"/>
        <w:rPr>
          <w:b/>
          <w:sz w:val="32"/>
        </w:rPr>
      </w:pPr>
      <w:r>
        <w:rPr>
          <w:rFonts w:hint="eastAsia"/>
          <w:b/>
          <w:sz w:val="32"/>
        </w:rPr>
        <w:t>投标产品配置及分项报价表</w:t>
      </w:r>
    </w:p>
    <w:tbl>
      <w:tblPr>
        <w:tblStyle w:val="1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1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17"/>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17"/>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授权代表身份证明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法人授权书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无重大违法说明 </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10</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jc w:val="both"/>
        <w:rPr>
          <w:rFonts w:asciiTheme="minorEastAsia" w:hAnsiTheme="minorEastAsia" w:eastAsiaTheme="minorEastAsia"/>
          <w:sz w:val="28"/>
          <w:szCs w:val="28"/>
        </w:rPr>
      </w:pPr>
      <w:r>
        <w:rPr>
          <w:rFonts w:hint="eastAsia" w:ascii="宋体" w:hAnsi="宋体"/>
        </w:rPr>
        <w:t xml:space="preserve"> </w:t>
      </w:r>
      <w:r>
        <w:rPr>
          <w:rFonts w:hint="eastAsia" w:asciiTheme="minorEastAsia" w:hAnsiTheme="minorEastAsia" w:eastAsiaTheme="minorEastAsia"/>
          <w:sz w:val="28"/>
          <w:szCs w:val="28"/>
        </w:rPr>
        <w:t>法定代表人或授权代表签字：</w:t>
      </w:r>
    </w:p>
    <w:p>
      <w:pPr>
        <w:spacing w:line="360" w:lineRule="auto"/>
        <w:rPr>
          <w:rFonts w:ascii="宋体" w:hAnsi="宋体" w:eastAsia="宋体"/>
          <w:b/>
          <w:bCs/>
          <w:sz w:val="36"/>
          <w:szCs w:val="36"/>
        </w:rPr>
      </w:pPr>
      <w:r>
        <w:rPr>
          <w:rFonts w:hint="eastAsia" w:asciiTheme="minorEastAsia" w:hAnsiTheme="minorEastAsia" w:eastAsiaTheme="minorEastAsia"/>
          <w:sz w:val="28"/>
          <w:szCs w:val="24"/>
        </w:rPr>
        <w:t>投标单位名称（加盖公章）：</w:t>
      </w:r>
    </w:p>
    <w:p>
      <w:pPr>
        <w:spacing w:line="360" w:lineRule="auto"/>
        <w:jc w:val="center"/>
        <w:rPr>
          <w:rFonts w:ascii="宋体" w:hAnsi="宋体" w:eastAsia="宋体"/>
          <w:b/>
          <w:bCs/>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9"/>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9"/>
        <w:spacing w:before="120" w:after="120" w:line="340" w:lineRule="exact"/>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9"/>
        <w:spacing w:before="120" w:after="120" w:line="340" w:lineRule="exact"/>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9"/>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9"/>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17"/>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spacing w:line="3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3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340" w:lineRule="exac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40" w:lineRule="exact"/>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340" w:lineRule="exac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40" w:lineRule="exac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40" w:lineRule="exact"/>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spacing w:line="340" w:lineRule="exact"/>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spacing w:line="340" w:lineRule="exact"/>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9"/>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9"/>
        <w:spacing w:before="120" w:after="120" w:line="360" w:lineRule="auto"/>
        <w:ind w:firstLine="480" w:firstLineChars="200"/>
        <w:rPr>
          <w:rFonts w:asciiTheme="minorEastAsia" w:hAnsiTheme="minorEastAsia"/>
          <w:b/>
          <w:color w:val="FF0000"/>
          <w:sz w:val="24"/>
          <w:szCs w:val="28"/>
        </w:rPr>
      </w:pPr>
      <w:r>
        <w:rPr>
          <w:rFonts w:asciiTheme="minorEastAsia" w:hAnsiTheme="minorEastAsia" w:eastAsiaTheme="minorEastAsia"/>
          <w:sz w:val="24"/>
          <w:szCs w:val="24"/>
        </w:rPr>
        <w:t>2.1结算方式：</w:t>
      </w:r>
      <w:r>
        <w:rPr>
          <w:rFonts w:hint="eastAsia" w:asciiTheme="minorEastAsia" w:hAnsiTheme="minorEastAsia"/>
          <w:sz w:val="24"/>
          <w:szCs w:val="28"/>
        </w:rPr>
        <w:t>A（国产设备）：</w:t>
      </w:r>
      <w:r>
        <w:rPr>
          <w:rFonts w:asciiTheme="minorEastAsia" w:hAnsiTheme="minorEastAsia"/>
          <w:sz w:val="24"/>
          <w:szCs w:val="28"/>
        </w:rPr>
        <w:t>货物</w:t>
      </w:r>
      <w:r>
        <w:rPr>
          <w:rFonts w:hint="eastAsia" w:asciiTheme="minorEastAsia" w:hAnsiTheme="minorEastAsia"/>
          <w:sz w:val="24"/>
          <w:szCs w:val="28"/>
        </w:rPr>
        <w:t>交付且安装、调试后，并通过</w:t>
      </w:r>
      <w:r>
        <w:rPr>
          <w:rFonts w:asciiTheme="minorEastAsia" w:hAnsiTheme="minorEastAsia"/>
          <w:sz w:val="24"/>
          <w:szCs w:val="28"/>
        </w:rPr>
        <w:t>验收后一周内</w:t>
      </w:r>
      <w:r>
        <w:rPr>
          <w:rFonts w:hint="eastAsia" w:asciiTheme="minorEastAsia" w:hAnsiTheme="minorEastAsia"/>
          <w:sz w:val="24"/>
          <w:szCs w:val="28"/>
        </w:rPr>
        <w:t>甲方</w:t>
      </w:r>
      <w:r>
        <w:rPr>
          <w:rFonts w:asciiTheme="minorEastAsia" w:hAnsiTheme="minorEastAsia"/>
          <w:sz w:val="24"/>
          <w:szCs w:val="28"/>
        </w:rPr>
        <w:t>支付合同总</w:t>
      </w:r>
      <w:r>
        <w:rPr>
          <w:rFonts w:hint="eastAsia" w:asciiTheme="minorEastAsia" w:hAnsiTheme="minorEastAsia"/>
          <w:sz w:val="24"/>
          <w:szCs w:val="28"/>
        </w:rPr>
        <w:t>金额</w:t>
      </w:r>
      <w:r>
        <w:rPr>
          <w:rFonts w:asciiTheme="minorEastAsia" w:hAnsiTheme="minorEastAsia"/>
          <w:sz w:val="24"/>
          <w:szCs w:val="28"/>
        </w:rPr>
        <w:t>的</w:t>
      </w:r>
      <w:r>
        <w:rPr>
          <w:rFonts w:hint="eastAsia" w:asciiTheme="minorEastAsia" w:hAnsiTheme="minorEastAsia"/>
          <w:b/>
          <w:color w:val="FF0000"/>
          <w:sz w:val="24"/>
          <w:szCs w:val="28"/>
        </w:rPr>
        <w:t>100</w:t>
      </w:r>
      <w:r>
        <w:rPr>
          <w:rFonts w:asciiTheme="minorEastAsia" w:hAnsiTheme="minorEastAsia"/>
          <w:b/>
          <w:color w:val="FF0000"/>
          <w:sz w:val="24"/>
          <w:szCs w:val="28"/>
        </w:rPr>
        <w:t>%</w:t>
      </w:r>
      <w:r>
        <w:rPr>
          <w:rFonts w:asciiTheme="minorEastAsia" w:hAnsiTheme="minorEastAsia"/>
          <w:sz w:val="24"/>
          <w:szCs w:val="28"/>
        </w:rPr>
        <w:t>，</w:t>
      </w:r>
      <w:r>
        <w:rPr>
          <w:rFonts w:hint="eastAsia" w:asciiTheme="minorEastAsia" w:hAnsiTheme="minorEastAsia"/>
          <w:sz w:val="24"/>
          <w:szCs w:val="28"/>
        </w:rPr>
        <w:t>付款之前需收到乙方</w:t>
      </w:r>
      <w:r>
        <w:rPr>
          <w:rFonts w:asciiTheme="minorEastAsia" w:hAnsiTheme="minorEastAsia"/>
          <w:sz w:val="24"/>
          <w:szCs w:val="28"/>
        </w:rPr>
        <w:t>开具</w:t>
      </w:r>
      <w:r>
        <w:rPr>
          <w:rFonts w:hint="eastAsia" w:asciiTheme="minorEastAsia" w:hAnsiTheme="minorEastAsia"/>
          <w:sz w:val="24"/>
          <w:szCs w:val="28"/>
        </w:rPr>
        <w:t>的合法有效的</w:t>
      </w:r>
      <w:r>
        <w:rPr>
          <w:rFonts w:asciiTheme="minorEastAsia" w:hAnsiTheme="minorEastAsia"/>
          <w:b/>
          <w:color w:val="FF0000"/>
          <w:sz w:val="24"/>
          <w:szCs w:val="28"/>
        </w:rPr>
        <w:t>相应</w:t>
      </w:r>
      <w:r>
        <w:rPr>
          <w:rFonts w:hint="eastAsia" w:asciiTheme="minorEastAsia" w:hAnsiTheme="minorEastAsia"/>
          <w:b/>
          <w:color w:val="FF0000"/>
          <w:sz w:val="24"/>
          <w:szCs w:val="28"/>
        </w:rPr>
        <w:t>全</w:t>
      </w:r>
      <w:r>
        <w:rPr>
          <w:rFonts w:asciiTheme="minorEastAsia" w:hAnsiTheme="minorEastAsia"/>
          <w:b/>
          <w:color w:val="FF0000"/>
          <w:sz w:val="24"/>
          <w:szCs w:val="28"/>
        </w:rPr>
        <w:t>额发票</w:t>
      </w:r>
      <w:r>
        <w:rPr>
          <w:rFonts w:hint="eastAsia" w:asciiTheme="minorEastAsia" w:hAnsiTheme="minorEastAsia"/>
          <w:b/>
          <w:color w:val="FF0000"/>
          <w:sz w:val="24"/>
          <w:szCs w:val="28"/>
        </w:rPr>
        <w:t>。</w:t>
      </w:r>
    </w:p>
    <w:p>
      <w:pPr>
        <w:pStyle w:val="9"/>
        <w:spacing w:before="120" w:after="120" w:line="360" w:lineRule="auto"/>
        <w:ind w:firstLine="480" w:firstLineChars="200"/>
        <w:rPr>
          <w:rFonts w:asciiTheme="minorEastAsia" w:hAnsiTheme="minorEastAsia"/>
          <w:sz w:val="24"/>
          <w:szCs w:val="28"/>
        </w:rPr>
      </w:pPr>
      <w:r>
        <w:rPr>
          <w:rFonts w:hint="eastAsia" w:asciiTheme="minorEastAsia" w:hAnsiTheme="minorEastAsia"/>
          <w:sz w:val="24"/>
          <w:szCs w:val="28"/>
        </w:rPr>
        <w:t>B（进口设备）：根据委托代理进口协议，甲方与</w:t>
      </w:r>
      <w:r>
        <w:rPr>
          <w:rFonts w:hint="eastAsia" w:asciiTheme="minorEastAsia" w:hAnsiTheme="minorEastAsia"/>
          <w:sz w:val="24"/>
          <w:szCs w:val="28"/>
          <w:u w:val="single"/>
        </w:rPr>
        <w:t xml:space="preserve">                      </w:t>
      </w:r>
      <w:r>
        <w:rPr>
          <w:rFonts w:hint="eastAsia" w:asciiTheme="minorEastAsia" w:hAnsiTheme="minorEastAsia"/>
          <w:sz w:val="24"/>
          <w:szCs w:val="28"/>
        </w:rPr>
        <w:t>外贸代理公司进行结算。</w:t>
      </w:r>
    </w:p>
    <w:p>
      <w:pPr>
        <w:pStyle w:val="9"/>
        <w:spacing w:before="120" w:after="120" w:line="340" w:lineRule="exact"/>
        <w:rPr>
          <w:rFonts w:asciiTheme="minorEastAsia" w:hAnsiTheme="minorEastAsia" w:eastAsiaTheme="minorEastAsia"/>
          <w:sz w:val="24"/>
          <w:szCs w:val="28"/>
        </w:rPr>
      </w:pP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9"/>
        <w:spacing w:before="120" w:after="120" w:line="340" w:lineRule="exact"/>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9"/>
        <w:spacing w:before="120" w:after="120" w:line="340" w:lineRule="exact"/>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9"/>
        <w:spacing w:before="120" w:after="120" w:line="340" w:lineRule="exact"/>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9"/>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9"/>
        <w:snapToGrid w:val="0"/>
        <w:spacing w:before="120" w:after="120" w:line="340" w:lineRule="exact"/>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9"/>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9"/>
        <w:spacing w:before="120" w:after="120" w:line="3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9"/>
        <w:spacing w:before="120" w:after="120" w:line="340" w:lineRule="exact"/>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9"/>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9"/>
        <w:spacing w:before="120" w:after="120" w:line="340" w:lineRule="exact"/>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9"/>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9"/>
        <w:spacing w:before="120" w:after="120" w:line="340" w:lineRule="exact"/>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9"/>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9"/>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9"/>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9"/>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9"/>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9"/>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甲方伍份，乙方壹份，</w:t>
      </w:r>
      <w:r>
        <w:rPr>
          <w:rFonts w:asciiTheme="minorEastAsia" w:hAnsiTheme="minorEastAsia" w:eastAsiaTheme="minorEastAsia"/>
          <w:sz w:val="24"/>
          <w:szCs w:val="24"/>
        </w:rPr>
        <w:t>具有同等法律效力。</w:t>
      </w:r>
    </w:p>
    <w:p>
      <w:pPr>
        <w:pStyle w:val="9"/>
        <w:spacing w:before="120" w:after="120" w:line="340" w:lineRule="exact"/>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9"/>
        <w:spacing w:before="120" w:after="120" w:line="340" w:lineRule="exact"/>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9"/>
        <w:spacing w:before="120" w:after="120" w:line="340" w:lineRule="exact"/>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9"/>
        <w:spacing w:before="120" w:after="120" w:line="340" w:lineRule="exact"/>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9"/>
        <w:spacing w:before="120" w:after="120" w:line="340" w:lineRule="exact"/>
        <w:rPr>
          <w:rFonts w:asciiTheme="minorEastAsia" w:hAnsiTheme="minorEastAsia" w:eastAsiaTheme="minorEastAsia"/>
          <w:sz w:val="28"/>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Fonts w:ascii="宋体" w:hAnsi="宋体"/>
      </w:rPr>
    </w:pPr>
    <w:r>
      <w:rPr>
        <w:rFonts w:ascii="宋体" w:hAnsi="宋体"/>
      </w:rPr>
      <w:fldChar w:fldCharType="begin"/>
    </w:r>
    <w:r>
      <w:rPr>
        <w:rStyle w:val="19"/>
        <w:rFonts w:ascii="宋体" w:hAnsi="宋体"/>
      </w:rPr>
      <w:instrText xml:space="preserve">PAGE  </w:instrText>
    </w:r>
    <w:r>
      <w:rPr>
        <w:rFonts w:ascii="宋体" w:hAnsi="宋体"/>
      </w:rPr>
      <w:fldChar w:fldCharType="separate"/>
    </w:r>
    <w:r>
      <w:rPr>
        <w:rStyle w:val="19"/>
        <w:rFonts w:ascii="宋体" w:hAnsi="宋体"/>
      </w:rPr>
      <w:t>36</w:t>
    </w:r>
    <w:r>
      <w:rPr>
        <w:rFonts w:ascii="宋体" w:hAnsi="宋体"/>
      </w:rPr>
      <w:fldChar w:fldCharType="end"/>
    </w:r>
  </w:p>
  <w:p>
    <w:pPr>
      <w:pStyle w:val="11"/>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fldChar w:fldCharType="begin"/>
    </w:r>
    <w:r>
      <w:rPr>
        <w:rStyle w:val="19"/>
      </w:rPr>
      <w:instrText xml:space="preserve">PAGE  </w:instrText>
    </w:r>
    <w:r>
      <w:fldChar w:fldCharType="separate"/>
    </w:r>
    <w:r>
      <w:rPr>
        <w:rStyle w:val="19"/>
      </w:rPr>
      <w:t>1</w: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73A357"/>
    <w:multiLevelType w:val="singleLevel"/>
    <w:tmpl w:val="C773A357"/>
    <w:lvl w:ilvl="0" w:tentative="0">
      <w:start w:val="1"/>
      <w:numFmt w:val="decimal"/>
      <w:suff w:val="nothing"/>
      <w:lvlText w:val="%1、"/>
      <w:lvlJc w:val="left"/>
    </w:lvl>
  </w:abstractNum>
  <w:abstractNum w:abstractNumId="1">
    <w:nsid w:val="D7ED1B35"/>
    <w:multiLevelType w:val="singleLevel"/>
    <w:tmpl w:val="D7ED1B35"/>
    <w:lvl w:ilvl="0" w:tentative="0">
      <w:start w:val="3"/>
      <w:numFmt w:val="chineseCounting"/>
      <w:suff w:val="nothing"/>
      <w:lvlText w:val="（%1）"/>
      <w:lvlJc w:val="left"/>
      <w:rPr>
        <w:rFonts w:hint="eastAsia"/>
      </w:rPr>
    </w:lvl>
  </w:abstractNum>
  <w:abstractNum w:abstractNumId="2">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720"/>
  <w:characterSpacingControl w:val="doNotCompress"/>
  <w:compat>
    <w:useFELayout/>
    <w:compatSetting w:name="compatibilityMode" w:uri="http://schemas.microsoft.com/office/word" w:val="12"/>
  </w:compat>
  <w:rsids>
    <w:rsidRoot w:val="00D31D50"/>
    <w:rsid w:val="00026CA5"/>
    <w:rsid w:val="00045531"/>
    <w:rsid w:val="000458DB"/>
    <w:rsid w:val="00046D67"/>
    <w:rsid w:val="000508AB"/>
    <w:rsid w:val="00050D10"/>
    <w:rsid w:val="00053D2D"/>
    <w:rsid w:val="00053D8C"/>
    <w:rsid w:val="0005451A"/>
    <w:rsid w:val="000625B9"/>
    <w:rsid w:val="00062EBC"/>
    <w:rsid w:val="00063E5E"/>
    <w:rsid w:val="00070968"/>
    <w:rsid w:val="00075408"/>
    <w:rsid w:val="0008466D"/>
    <w:rsid w:val="00086A59"/>
    <w:rsid w:val="00090C36"/>
    <w:rsid w:val="00092136"/>
    <w:rsid w:val="0009546A"/>
    <w:rsid w:val="000A4EF6"/>
    <w:rsid w:val="000B08EC"/>
    <w:rsid w:val="000B0E83"/>
    <w:rsid w:val="000B538B"/>
    <w:rsid w:val="000C3635"/>
    <w:rsid w:val="000C6FE5"/>
    <w:rsid w:val="000C7C51"/>
    <w:rsid w:val="000D0163"/>
    <w:rsid w:val="000E7086"/>
    <w:rsid w:val="000F4CEA"/>
    <w:rsid w:val="00100D01"/>
    <w:rsid w:val="00101A8A"/>
    <w:rsid w:val="001065A2"/>
    <w:rsid w:val="0012092A"/>
    <w:rsid w:val="001225B3"/>
    <w:rsid w:val="00124A3C"/>
    <w:rsid w:val="00125C10"/>
    <w:rsid w:val="0012695F"/>
    <w:rsid w:val="00141840"/>
    <w:rsid w:val="0016026B"/>
    <w:rsid w:val="00160A9B"/>
    <w:rsid w:val="00162A74"/>
    <w:rsid w:val="001647DF"/>
    <w:rsid w:val="00164FB6"/>
    <w:rsid w:val="00165E37"/>
    <w:rsid w:val="00166953"/>
    <w:rsid w:val="001674B0"/>
    <w:rsid w:val="00167738"/>
    <w:rsid w:val="00170D4A"/>
    <w:rsid w:val="0018443B"/>
    <w:rsid w:val="00193521"/>
    <w:rsid w:val="001A049C"/>
    <w:rsid w:val="001B5B68"/>
    <w:rsid w:val="001B5CF1"/>
    <w:rsid w:val="001B6A78"/>
    <w:rsid w:val="001C20DD"/>
    <w:rsid w:val="001C2E89"/>
    <w:rsid w:val="001C4B26"/>
    <w:rsid w:val="001C64AC"/>
    <w:rsid w:val="001D0768"/>
    <w:rsid w:val="001D281C"/>
    <w:rsid w:val="001D5A6A"/>
    <w:rsid w:val="001E030A"/>
    <w:rsid w:val="001E1FD2"/>
    <w:rsid w:val="001E4020"/>
    <w:rsid w:val="001E5F10"/>
    <w:rsid w:val="001E73B5"/>
    <w:rsid w:val="001F4F63"/>
    <w:rsid w:val="0020432E"/>
    <w:rsid w:val="002070F5"/>
    <w:rsid w:val="00232127"/>
    <w:rsid w:val="002327D4"/>
    <w:rsid w:val="00244DA0"/>
    <w:rsid w:val="002453B7"/>
    <w:rsid w:val="0025535E"/>
    <w:rsid w:val="00266C11"/>
    <w:rsid w:val="00272CB4"/>
    <w:rsid w:val="00295368"/>
    <w:rsid w:val="002A4DD3"/>
    <w:rsid w:val="002D2055"/>
    <w:rsid w:val="002D6142"/>
    <w:rsid w:val="002E0FA7"/>
    <w:rsid w:val="002E598A"/>
    <w:rsid w:val="002F075B"/>
    <w:rsid w:val="002F20E4"/>
    <w:rsid w:val="002F225B"/>
    <w:rsid w:val="002F6027"/>
    <w:rsid w:val="00300F88"/>
    <w:rsid w:val="00304B4B"/>
    <w:rsid w:val="00306735"/>
    <w:rsid w:val="0031681A"/>
    <w:rsid w:val="00323B43"/>
    <w:rsid w:val="0032616D"/>
    <w:rsid w:val="00327947"/>
    <w:rsid w:val="00332602"/>
    <w:rsid w:val="00336542"/>
    <w:rsid w:val="00341D73"/>
    <w:rsid w:val="00344696"/>
    <w:rsid w:val="003525A5"/>
    <w:rsid w:val="003538BE"/>
    <w:rsid w:val="0036460C"/>
    <w:rsid w:val="00365285"/>
    <w:rsid w:val="0037490B"/>
    <w:rsid w:val="0038270D"/>
    <w:rsid w:val="00397BA9"/>
    <w:rsid w:val="003A4089"/>
    <w:rsid w:val="003B1427"/>
    <w:rsid w:val="003B2DF7"/>
    <w:rsid w:val="003B3CF8"/>
    <w:rsid w:val="003C7177"/>
    <w:rsid w:val="003D2715"/>
    <w:rsid w:val="003D37D8"/>
    <w:rsid w:val="003E2F0D"/>
    <w:rsid w:val="003F3546"/>
    <w:rsid w:val="003F6A3E"/>
    <w:rsid w:val="003F7CC8"/>
    <w:rsid w:val="00401D0E"/>
    <w:rsid w:val="00404C89"/>
    <w:rsid w:val="00411C53"/>
    <w:rsid w:val="00412566"/>
    <w:rsid w:val="00413A13"/>
    <w:rsid w:val="00414074"/>
    <w:rsid w:val="00421D40"/>
    <w:rsid w:val="00426133"/>
    <w:rsid w:val="00431F8A"/>
    <w:rsid w:val="004358AB"/>
    <w:rsid w:val="0043654C"/>
    <w:rsid w:val="004416FF"/>
    <w:rsid w:val="00442EE3"/>
    <w:rsid w:val="00443D5F"/>
    <w:rsid w:val="004459E6"/>
    <w:rsid w:val="0044705E"/>
    <w:rsid w:val="00477C2E"/>
    <w:rsid w:val="004808C6"/>
    <w:rsid w:val="004A4F2D"/>
    <w:rsid w:val="004B73EF"/>
    <w:rsid w:val="004E0EEC"/>
    <w:rsid w:val="004E3402"/>
    <w:rsid w:val="004E3450"/>
    <w:rsid w:val="004F2464"/>
    <w:rsid w:val="004F54A0"/>
    <w:rsid w:val="004F5C9E"/>
    <w:rsid w:val="004F6DEC"/>
    <w:rsid w:val="004F7103"/>
    <w:rsid w:val="005129DB"/>
    <w:rsid w:val="00523B5F"/>
    <w:rsid w:val="005253AD"/>
    <w:rsid w:val="00532F1E"/>
    <w:rsid w:val="00534354"/>
    <w:rsid w:val="00535529"/>
    <w:rsid w:val="00557F99"/>
    <w:rsid w:val="0057236C"/>
    <w:rsid w:val="0057580C"/>
    <w:rsid w:val="00575FC2"/>
    <w:rsid w:val="0058115B"/>
    <w:rsid w:val="00582807"/>
    <w:rsid w:val="00582977"/>
    <w:rsid w:val="005866DD"/>
    <w:rsid w:val="00590D7C"/>
    <w:rsid w:val="0059317B"/>
    <w:rsid w:val="00596F67"/>
    <w:rsid w:val="005B00B9"/>
    <w:rsid w:val="005B44B4"/>
    <w:rsid w:val="005C005E"/>
    <w:rsid w:val="005C66D3"/>
    <w:rsid w:val="005C7D94"/>
    <w:rsid w:val="005D2E1F"/>
    <w:rsid w:val="005F103C"/>
    <w:rsid w:val="0060453F"/>
    <w:rsid w:val="006045FD"/>
    <w:rsid w:val="006073C6"/>
    <w:rsid w:val="006160DD"/>
    <w:rsid w:val="00616201"/>
    <w:rsid w:val="006218B4"/>
    <w:rsid w:val="006411FE"/>
    <w:rsid w:val="006600C0"/>
    <w:rsid w:val="00663D89"/>
    <w:rsid w:val="00664A05"/>
    <w:rsid w:val="00681F07"/>
    <w:rsid w:val="00695BF8"/>
    <w:rsid w:val="006977C3"/>
    <w:rsid w:val="006A096A"/>
    <w:rsid w:val="006A0A34"/>
    <w:rsid w:val="006B0EB6"/>
    <w:rsid w:val="006B4013"/>
    <w:rsid w:val="006B6C40"/>
    <w:rsid w:val="006C6B1D"/>
    <w:rsid w:val="006D1B0D"/>
    <w:rsid w:val="006E1848"/>
    <w:rsid w:val="006E7A99"/>
    <w:rsid w:val="006F283A"/>
    <w:rsid w:val="00705F93"/>
    <w:rsid w:val="00710E53"/>
    <w:rsid w:val="0071106B"/>
    <w:rsid w:val="00711F9D"/>
    <w:rsid w:val="007165EB"/>
    <w:rsid w:val="007178CD"/>
    <w:rsid w:val="00722B49"/>
    <w:rsid w:val="00725153"/>
    <w:rsid w:val="00726D9C"/>
    <w:rsid w:val="00731E48"/>
    <w:rsid w:val="0074740B"/>
    <w:rsid w:val="00747556"/>
    <w:rsid w:val="007543D9"/>
    <w:rsid w:val="00754FBF"/>
    <w:rsid w:val="00755373"/>
    <w:rsid w:val="00761DB1"/>
    <w:rsid w:val="00791FC9"/>
    <w:rsid w:val="00792482"/>
    <w:rsid w:val="0079316D"/>
    <w:rsid w:val="007947E9"/>
    <w:rsid w:val="007A58F8"/>
    <w:rsid w:val="007B3D32"/>
    <w:rsid w:val="007C53CC"/>
    <w:rsid w:val="007C5FB1"/>
    <w:rsid w:val="007D292E"/>
    <w:rsid w:val="007E0F09"/>
    <w:rsid w:val="007E2F52"/>
    <w:rsid w:val="007E466E"/>
    <w:rsid w:val="007E5C50"/>
    <w:rsid w:val="007E7839"/>
    <w:rsid w:val="007F1718"/>
    <w:rsid w:val="007F18E6"/>
    <w:rsid w:val="007F226B"/>
    <w:rsid w:val="007F354B"/>
    <w:rsid w:val="00801146"/>
    <w:rsid w:val="008324FE"/>
    <w:rsid w:val="0083334C"/>
    <w:rsid w:val="00833AE1"/>
    <w:rsid w:val="00834323"/>
    <w:rsid w:val="00841379"/>
    <w:rsid w:val="0085068C"/>
    <w:rsid w:val="00853556"/>
    <w:rsid w:val="008545FA"/>
    <w:rsid w:val="00863149"/>
    <w:rsid w:val="00881E8B"/>
    <w:rsid w:val="00891674"/>
    <w:rsid w:val="008940B1"/>
    <w:rsid w:val="00896CD5"/>
    <w:rsid w:val="008B154E"/>
    <w:rsid w:val="008B7726"/>
    <w:rsid w:val="008C7C99"/>
    <w:rsid w:val="008E0843"/>
    <w:rsid w:val="008E6860"/>
    <w:rsid w:val="008F3684"/>
    <w:rsid w:val="008F5952"/>
    <w:rsid w:val="008F6FC4"/>
    <w:rsid w:val="008F7663"/>
    <w:rsid w:val="00901E4A"/>
    <w:rsid w:val="009124F7"/>
    <w:rsid w:val="00913A47"/>
    <w:rsid w:val="00914B43"/>
    <w:rsid w:val="00917C9A"/>
    <w:rsid w:val="00922C31"/>
    <w:rsid w:val="0093235D"/>
    <w:rsid w:val="009330FF"/>
    <w:rsid w:val="00937A6C"/>
    <w:rsid w:val="00944F3E"/>
    <w:rsid w:val="00953E8C"/>
    <w:rsid w:val="00954E6B"/>
    <w:rsid w:val="009569A2"/>
    <w:rsid w:val="00982CE2"/>
    <w:rsid w:val="00985BBC"/>
    <w:rsid w:val="00992C71"/>
    <w:rsid w:val="00994DC6"/>
    <w:rsid w:val="0099642C"/>
    <w:rsid w:val="009A7A76"/>
    <w:rsid w:val="009B386E"/>
    <w:rsid w:val="009B43A1"/>
    <w:rsid w:val="009B4528"/>
    <w:rsid w:val="009B498C"/>
    <w:rsid w:val="009C30A7"/>
    <w:rsid w:val="009C69CD"/>
    <w:rsid w:val="009D140B"/>
    <w:rsid w:val="009D3FAC"/>
    <w:rsid w:val="009D6181"/>
    <w:rsid w:val="009E1102"/>
    <w:rsid w:val="009E1967"/>
    <w:rsid w:val="009E4FC4"/>
    <w:rsid w:val="009E5457"/>
    <w:rsid w:val="009E5541"/>
    <w:rsid w:val="009F148D"/>
    <w:rsid w:val="009F2B90"/>
    <w:rsid w:val="009F453D"/>
    <w:rsid w:val="009F7F81"/>
    <w:rsid w:val="00A02CA7"/>
    <w:rsid w:val="00A157F0"/>
    <w:rsid w:val="00A25E57"/>
    <w:rsid w:val="00A4464F"/>
    <w:rsid w:val="00A46E8D"/>
    <w:rsid w:val="00A478D2"/>
    <w:rsid w:val="00A536D3"/>
    <w:rsid w:val="00A634C3"/>
    <w:rsid w:val="00A67624"/>
    <w:rsid w:val="00A719C8"/>
    <w:rsid w:val="00A74556"/>
    <w:rsid w:val="00A754E0"/>
    <w:rsid w:val="00A84971"/>
    <w:rsid w:val="00A95E40"/>
    <w:rsid w:val="00A960CD"/>
    <w:rsid w:val="00AA10B3"/>
    <w:rsid w:val="00AA278C"/>
    <w:rsid w:val="00AB3CFF"/>
    <w:rsid w:val="00AC2325"/>
    <w:rsid w:val="00AC25C7"/>
    <w:rsid w:val="00AC3CE4"/>
    <w:rsid w:val="00AD713B"/>
    <w:rsid w:val="00AE5082"/>
    <w:rsid w:val="00AE6332"/>
    <w:rsid w:val="00AF0E8F"/>
    <w:rsid w:val="00AF3ACC"/>
    <w:rsid w:val="00AF539E"/>
    <w:rsid w:val="00AF7671"/>
    <w:rsid w:val="00B06748"/>
    <w:rsid w:val="00B10D4E"/>
    <w:rsid w:val="00B14B96"/>
    <w:rsid w:val="00B2630F"/>
    <w:rsid w:val="00B300AE"/>
    <w:rsid w:val="00B32830"/>
    <w:rsid w:val="00B33A83"/>
    <w:rsid w:val="00B445BC"/>
    <w:rsid w:val="00B47081"/>
    <w:rsid w:val="00B4709A"/>
    <w:rsid w:val="00B47424"/>
    <w:rsid w:val="00B517FD"/>
    <w:rsid w:val="00B531AF"/>
    <w:rsid w:val="00B54479"/>
    <w:rsid w:val="00B6104E"/>
    <w:rsid w:val="00B65818"/>
    <w:rsid w:val="00B70A98"/>
    <w:rsid w:val="00B7298F"/>
    <w:rsid w:val="00B767A7"/>
    <w:rsid w:val="00B86F22"/>
    <w:rsid w:val="00B93218"/>
    <w:rsid w:val="00B9381E"/>
    <w:rsid w:val="00B9568F"/>
    <w:rsid w:val="00B97749"/>
    <w:rsid w:val="00B97E23"/>
    <w:rsid w:val="00BA4C04"/>
    <w:rsid w:val="00BA78DC"/>
    <w:rsid w:val="00BB2734"/>
    <w:rsid w:val="00BB3582"/>
    <w:rsid w:val="00BC5C79"/>
    <w:rsid w:val="00BC7A5C"/>
    <w:rsid w:val="00BD02B4"/>
    <w:rsid w:val="00BD11DD"/>
    <w:rsid w:val="00BD2AED"/>
    <w:rsid w:val="00BD422E"/>
    <w:rsid w:val="00BD6A49"/>
    <w:rsid w:val="00BD6FBD"/>
    <w:rsid w:val="00BD77ED"/>
    <w:rsid w:val="00BE7284"/>
    <w:rsid w:val="00BF363B"/>
    <w:rsid w:val="00BF3F02"/>
    <w:rsid w:val="00BF3F2A"/>
    <w:rsid w:val="00BF688E"/>
    <w:rsid w:val="00BF6B18"/>
    <w:rsid w:val="00C00BC7"/>
    <w:rsid w:val="00C12969"/>
    <w:rsid w:val="00C13584"/>
    <w:rsid w:val="00C1690A"/>
    <w:rsid w:val="00C30C20"/>
    <w:rsid w:val="00C40E65"/>
    <w:rsid w:val="00C51CFF"/>
    <w:rsid w:val="00C541CB"/>
    <w:rsid w:val="00C55166"/>
    <w:rsid w:val="00C714F0"/>
    <w:rsid w:val="00C763E2"/>
    <w:rsid w:val="00C76558"/>
    <w:rsid w:val="00C86FD4"/>
    <w:rsid w:val="00C96654"/>
    <w:rsid w:val="00CB14E1"/>
    <w:rsid w:val="00CB2130"/>
    <w:rsid w:val="00CB3C11"/>
    <w:rsid w:val="00CD4D83"/>
    <w:rsid w:val="00CE18E8"/>
    <w:rsid w:val="00D1587C"/>
    <w:rsid w:val="00D278D7"/>
    <w:rsid w:val="00D30C26"/>
    <w:rsid w:val="00D31D50"/>
    <w:rsid w:val="00D323F9"/>
    <w:rsid w:val="00D4211D"/>
    <w:rsid w:val="00D5054E"/>
    <w:rsid w:val="00D53633"/>
    <w:rsid w:val="00D564F9"/>
    <w:rsid w:val="00D56CB6"/>
    <w:rsid w:val="00D61AE7"/>
    <w:rsid w:val="00D634CC"/>
    <w:rsid w:val="00D63B1C"/>
    <w:rsid w:val="00D77EC9"/>
    <w:rsid w:val="00D81D23"/>
    <w:rsid w:val="00D9005C"/>
    <w:rsid w:val="00DA1746"/>
    <w:rsid w:val="00DA4334"/>
    <w:rsid w:val="00DB1721"/>
    <w:rsid w:val="00DB5FD8"/>
    <w:rsid w:val="00DC26C4"/>
    <w:rsid w:val="00DE05FA"/>
    <w:rsid w:val="00DE421A"/>
    <w:rsid w:val="00DF12D7"/>
    <w:rsid w:val="00DF16E1"/>
    <w:rsid w:val="00E011DE"/>
    <w:rsid w:val="00E12D6B"/>
    <w:rsid w:val="00E14FB9"/>
    <w:rsid w:val="00E157E7"/>
    <w:rsid w:val="00E27FD1"/>
    <w:rsid w:val="00E31BD3"/>
    <w:rsid w:val="00E33A94"/>
    <w:rsid w:val="00E34600"/>
    <w:rsid w:val="00E4385B"/>
    <w:rsid w:val="00E52BFB"/>
    <w:rsid w:val="00E537C7"/>
    <w:rsid w:val="00E53CF5"/>
    <w:rsid w:val="00E56996"/>
    <w:rsid w:val="00E57C17"/>
    <w:rsid w:val="00E75074"/>
    <w:rsid w:val="00E81B75"/>
    <w:rsid w:val="00E846FB"/>
    <w:rsid w:val="00E85DDD"/>
    <w:rsid w:val="00E95E13"/>
    <w:rsid w:val="00E9733E"/>
    <w:rsid w:val="00EA5C99"/>
    <w:rsid w:val="00EA62FB"/>
    <w:rsid w:val="00EA6CDE"/>
    <w:rsid w:val="00EB0C34"/>
    <w:rsid w:val="00EB187E"/>
    <w:rsid w:val="00EC3C23"/>
    <w:rsid w:val="00ED0853"/>
    <w:rsid w:val="00ED0F18"/>
    <w:rsid w:val="00EE2837"/>
    <w:rsid w:val="00EE4B82"/>
    <w:rsid w:val="00EE7046"/>
    <w:rsid w:val="00EF69B3"/>
    <w:rsid w:val="00F04061"/>
    <w:rsid w:val="00F14151"/>
    <w:rsid w:val="00F152B0"/>
    <w:rsid w:val="00F212D3"/>
    <w:rsid w:val="00F27EE2"/>
    <w:rsid w:val="00F30A36"/>
    <w:rsid w:val="00F34B4A"/>
    <w:rsid w:val="00F34DF9"/>
    <w:rsid w:val="00F4455E"/>
    <w:rsid w:val="00F5231B"/>
    <w:rsid w:val="00F64CC8"/>
    <w:rsid w:val="00F8761F"/>
    <w:rsid w:val="00F94053"/>
    <w:rsid w:val="00F94356"/>
    <w:rsid w:val="00F952C7"/>
    <w:rsid w:val="00F96BF5"/>
    <w:rsid w:val="00FA1C7D"/>
    <w:rsid w:val="00FA1FA5"/>
    <w:rsid w:val="00FA4F5F"/>
    <w:rsid w:val="00FA7B45"/>
    <w:rsid w:val="00FB608D"/>
    <w:rsid w:val="00FC0456"/>
    <w:rsid w:val="00FC3104"/>
    <w:rsid w:val="00FC4519"/>
    <w:rsid w:val="00FF44F0"/>
    <w:rsid w:val="00FF7A26"/>
    <w:rsid w:val="0215666C"/>
    <w:rsid w:val="040E5D8B"/>
    <w:rsid w:val="05802DAE"/>
    <w:rsid w:val="06D745CD"/>
    <w:rsid w:val="0752147A"/>
    <w:rsid w:val="09653D65"/>
    <w:rsid w:val="097B5CAD"/>
    <w:rsid w:val="0BA95356"/>
    <w:rsid w:val="0C937012"/>
    <w:rsid w:val="0D7C3718"/>
    <w:rsid w:val="0E18562A"/>
    <w:rsid w:val="0FED49AC"/>
    <w:rsid w:val="10A63DA5"/>
    <w:rsid w:val="1214484F"/>
    <w:rsid w:val="15847063"/>
    <w:rsid w:val="199C602D"/>
    <w:rsid w:val="1A4F7CC8"/>
    <w:rsid w:val="1AF12D95"/>
    <w:rsid w:val="1B675A71"/>
    <w:rsid w:val="1CDC7552"/>
    <w:rsid w:val="1E573DB8"/>
    <w:rsid w:val="1EB74EA0"/>
    <w:rsid w:val="1F320A1B"/>
    <w:rsid w:val="1F8937D3"/>
    <w:rsid w:val="1FD77C03"/>
    <w:rsid w:val="224B6541"/>
    <w:rsid w:val="226D6361"/>
    <w:rsid w:val="23711F72"/>
    <w:rsid w:val="23CA13A0"/>
    <w:rsid w:val="24AE0768"/>
    <w:rsid w:val="24D13124"/>
    <w:rsid w:val="26027802"/>
    <w:rsid w:val="29295E43"/>
    <w:rsid w:val="2A2E7CAB"/>
    <w:rsid w:val="2B022D2F"/>
    <w:rsid w:val="30C33D3E"/>
    <w:rsid w:val="32D525B1"/>
    <w:rsid w:val="33836982"/>
    <w:rsid w:val="3433528C"/>
    <w:rsid w:val="35825F36"/>
    <w:rsid w:val="36CF1FB8"/>
    <w:rsid w:val="37851F1F"/>
    <w:rsid w:val="379D41E9"/>
    <w:rsid w:val="38DC25D8"/>
    <w:rsid w:val="3A1F13CA"/>
    <w:rsid w:val="3E892E58"/>
    <w:rsid w:val="3ECC16E3"/>
    <w:rsid w:val="3EFA7679"/>
    <w:rsid w:val="3F6630CC"/>
    <w:rsid w:val="3FDF7FAE"/>
    <w:rsid w:val="3FF422BE"/>
    <w:rsid w:val="40BC1CAF"/>
    <w:rsid w:val="41F15AE9"/>
    <w:rsid w:val="433E03B1"/>
    <w:rsid w:val="44FB7083"/>
    <w:rsid w:val="45E042F6"/>
    <w:rsid w:val="463E31DA"/>
    <w:rsid w:val="46B01AF4"/>
    <w:rsid w:val="471F002F"/>
    <w:rsid w:val="479C6F4C"/>
    <w:rsid w:val="47C14A92"/>
    <w:rsid w:val="48EE778C"/>
    <w:rsid w:val="4B2A7858"/>
    <w:rsid w:val="4D3D0D90"/>
    <w:rsid w:val="4ECE3AD9"/>
    <w:rsid w:val="4FB02BE3"/>
    <w:rsid w:val="51F809FC"/>
    <w:rsid w:val="54474247"/>
    <w:rsid w:val="551512BA"/>
    <w:rsid w:val="5823579E"/>
    <w:rsid w:val="58774C6F"/>
    <w:rsid w:val="5A10682C"/>
    <w:rsid w:val="5A5775EF"/>
    <w:rsid w:val="5B650CDC"/>
    <w:rsid w:val="5CC05446"/>
    <w:rsid w:val="5DD430CF"/>
    <w:rsid w:val="60903F2E"/>
    <w:rsid w:val="60EC5FD5"/>
    <w:rsid w:val="62405DB9"/>
    <w:rsid w:val="624C2D74"/>
    <w:rsid w:val="625A0C9E"/>
    <w:rsid w:val="629D0022"/>
    <w:rsid w:val="62CD3F75"/>
    <w:rsid w:val="63C030C4"/>
    <w:rsid w:val="644A236B"/>
    <w:rsid w:val="679740F8"/>
    <w:rsid w:val="67B062B6"/>
    <w:rsid w:val="67B247F7"/>
    <w:rsid w:val="6C480935"/>
    <w:rsid w:val="6C685191"/>
    <w:rsid w:val="6CBE5F90"/>
    <w:rsid w:val="6D777346"/>
    <w:rsid w:val="6DD91EA3"/>
    <w:rsid w:val="6E115DA7"/>
    <w:rsid w:val="701408F6"/>
    <w:rsid w:val="70594F61"/>
    <w:rsid w:val="71A512FE"/>
    <w:rsid w:val="735F6C43"/>
    <w:rsid w:val="73E1351A"/>
    <w:rsid w:val="74F33147"/>
    <w:rsid w:val="76A677F0"/>
    <w:rsid w:val="789923DD"/>
    <w:rsid w:val="7BBE7026"/>
    <w:rsid w:val="7CC3126E"/>
    <w:rsid w:val="7D327E0B"/>
    <w:rsid w:val="7D473F6B"/>
    <w:rsid w:val="7EDD3A1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text"/>
    <w:basedOn w:val="1"/>
    <w:link w:val="45"/>
    <w:semiHidden/>
    <w:unhideWhenUsed/>
    <w:qFormat/>
    <w:uiPriority w:val="99"/>
  </w:style>
  <w:style w:type="paragraph" w:styleId="8">
    <w:name w:val="Body Text"/>
    <w:basedOn w:val="1"/>
    <w:link w:val="39"/>
    <w:qFormat/>
    <w:uiPriority w:val="0"/>
    <w:pPr>
      <w:widowControl w:val="0"/>
      <w:adjustRightInd/>
      <w:snapToGrid/>
      <w:spacing w:after="0"/>
      <w:jc w:val="both"/>
    </w:pPr>
    <w:rPr>
      <w:rFonts w:ascii="楷体_GB2312" w:hAnsi="Arial" w:eastAsia="楷体_GB2312"/>
      <w:kern w:val="2"/>
      <w:sz w:val="28"/>
      <w:szCs w:val="28"/>
    </w:rPr>
  </w:style>
  <w:style w:type="paragraph" w:styleId="9">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0">
    <w:name w:val="Balloon Text"/>
    <w:basedOn w:val="1"/>
    <w:link w:val="44"/>
    <w:semiHidden/>
    <w:unhideWhenUsed/>
    <w:qFormat/>
    <w:uiPriority w:val="99"/>
    <w:pPr>
      <w:spacing w:after="0"/>
    </w:pPr>
    <w:rPr>
      <w:sz w:val="18"/>
      <w:szCs w:val="18"/>
    </w:rPr>
  </w:style>
  <w:style w:type="paragraph" w:styleId="11">
    <w:name w:val="footer"/>
    <w:basedOn w:val="1"/>
    <w:link w:val="23"/>
    <w:unhideWhenUsed/>
    <w:qFormat/>
    <w:uiPriority w:val="99"/>
    <w:pPr>
      <w:tabs>
        <w:tab w:val="center" w:pos="4153"/>
        <w:tab w:val="right" w:pos="8306"/>
      </w:tabs>
    </w:pPr>
    <w:rPr>
      <w:sz w:val="18"/>
      <w:szCs w:val="18"/>
    </w:rPr>
  </w:style>
  <w:style w:type="paragraph" w:styleId="12">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paragraph" w:styleId="13">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4">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5">
    <w:name w:val="Title"/>
    <w:basedOn w:val="1"/>
    <w:next w:val="1"/>
    <w:link w:val="29"/>
    <w:qFormat/>
    <w:uiPriority w:val="0"/>
    <w:pPr>
      <w:widowControl w:val="0"/>
      <w:adjustRightInd/>
      <w:snapToGrid/>
      <w:spacing w:before="240" w:after="60"/>
      <w:jc w:val="center"/>
      <w:outlineLvl w:val="0"/>
    </w:pPr>
    <w:rPr>
      <w:rFonts w:ascii="Cambria" w:hAnsi="Cambria"/>
      <w:b/>
      <w:bCs/>
      <w:kern w:val="2"/>
      <w:sz w:val="32"/>
      <w:szCs w:val="32"/>
    </w:rPr>
  </w:style>
  <w:style w:type="paragraph" w:styleId="16">
    <w:name w:val="annotation subject"/>
    <w:basedOn w:val="7"/>
    <w:next w:val="7"/>
    <w:link w:val="46"/>
    <w:semiHidden/>
    <w:unhideWhenUsed/>
    <w:qFormat/>
    <w:uiPriority w:val="99"/>
    <w:rPr>
      <w:b/>
      <w:bCs/>
    </w:rPr>
  </w:style>
  <w:style w:type="character" w:styleId="19">
    <w:name w:val="page number"/>
    <w:basedOn w:val="18"/>
    <w:qFormat/>
    <w:uiPriority w:val="0"/>
  </w:style>
  <w:style w:type="character" w:styleId="20">
    <w:name w:val="Hyperlink"/>
    <w:qFormat/>
    <w:uiPriority w:val="99"/>
    <w:rPr>
      <w:color w:val="0000FF"/>
      <w:u w:val="single"/>
    </w:rPr>
  </w:style>
  <w:style w:type="character" w:styleId="21">
    <w:name w:val="annotation reference"/>
    <w:basedOn w:val="18"/>
    <w:semiHidden/>
    <w:unhideWhenUsed/>
    <w:qFormat/>
    <w:uiPriority w:val="99"/>
    <w:rPr>
      <w:sz w:val="21"/>
      <w:szCs w:val="21"/>
    </w:rPr>
  </w:style>
  <w:style w:type="character" w:customStyle="1" w:styleId="22">
    <w:name w:val="页眉 Char"/>
    <w:basedOn w:val="18"/>
    <w:link w:val="12"/>
    <w:qFormat/>
    <w:uiPriority w:val="99"/>
    <w:rPr>
      <w:rFonts w:ascii="Tahoma" w:hAnsi="Tahoma"/>
      <w:sz w:val="18"/>
      <w:szCs w:val="18"/>
    </w:rPr>
  </w:style>
  <w:style w:type="character" w:customStyle="1" w:styleId="23">
    <w:name w:val="页脚 Char"/>
    <w:basedOn w:val="18"/>
    <w:link w:val="11"/>
    <w:qFormat/>
    <w:uiPriority w:val="99"/>
    <w:rPr>
      <w:rFonts w:ascii="Tahoma" w:hAnsi="Tahoma"/>
      <w:sz w:val="18"/>
      <w:szCs w:val="18"/>
    </w:rPr>
  </w:style>
  <w:style w:type="character" w:customStyle="1" w:styleId="24">
    <w:name w:val="标题 1 Char"/>
    <w:basedOn w:val="18"/>
    <w:link w:val="2"/>
    <w:qFormat/>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 Char"/>
    <w:basedOn w:val="18"/>
    <w:link w:val="4"/>
    <w:qFormat/>
    <w:uiPriority w:val="0"/>
    <w:rPr>
      <w:rFonts w:ascii="Times New Roman" w:hAnsi="Times New Roman" w:eastAsia="宋体" w:cs="Times New Roman"/>
      <w:b/>
      <w:bCs/>
      <w:kern w:val="2"/>
      <w:sz w:val="32"/>
      <w:szCs w:val="32"/>
    </w:rPr>
  </w:style>
  <w:style w:type="character" w:customStyle="1" w:styleId="28">
    <w:name w:val="标题 4 Char"/>
    <w:basedOn w:val="18"/>
    <w:link w:val="6"/>
    <w:qFormat/>
    <w:uiPriority w:val="9"/>
    <w:rPr>
      <w:rFonts w:ascii="Arial" w:hAnsi="Arial" w:eastAsia="黑体" w:cs="Arial"/>
      <w:b/>
      <w:bCs/>
      <w:kern w:val="2"/>
      <w:sz w:val="28"/>
      <w:szCs w:val="28"/>
    </w:rPr>
  </w:style>
  <w:style w:type="character" w:customStyle="1" w:styleId="29">
    <w:name w:val="标题 Char1"/>
    <w:basedOn w:val="18"/>
    <w:link w:val="15"/>
    <w:qFormat/>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 Char"/>
    <w:link w:val="5"/>
    <w:qFormat/>
    <w:uiPriority w:val="0"/>
    <w:rPr>
      <w:kern w:val="2"/>
      <w:sz w:val="21"/>
      <w:szCs w:val="21"/>
    </w:rPr>
  </w:style>
  <w:style w:type="character" w:customStyle="1" w:styleId="34">
    <w:name w:val="标题 Char"/>
    <w:basedOn w:val="18"/>
    <w:qFormat/>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 Char"/>
    <w:link w:val="9"/>
    <w:qFormat/>
    <w:uiPriority w:val="0"/>
    <w:rPr>
      <w:rFonts w:ascii="宋体" w:hAnsi="Courier New" w:cs="Courier New"/>
      <w:kern w:val="2"/>
      <w:sz w:val="21"/>
      <w:szCs w:val="21"/>
    </w:rPr>
  </w:style>
  <w:style w:type="character" w:customStyle="1" w:styleId="37">
    <w:name w:val="纯文本 Char1"/>
    <w:basedOn w:val="18"/>
    <w:semiHidden/>
    <w:qFormat/>
    <w:uiPriority w:val="99"/>
    <w:rPr>
      <w:rFonts w:ascii="宋体" w:hAnsi="Courier New" w:eastAsia="宋体" w:cs="Courier New"/>
      <w:sz w:val="21"/>
      <w:szCs w:val="21"/>
    </w:rPr>
  </w:style>
  <w:style w:type="character" w:customStyle="1" w:styleId="38">
    <w:name w:val="标题 2 Char"/>
    <w:basedOn w:val="18"/>
    <w:link w:val="3"/>
    <w:qFormat/>
    <w:uiPriority w:val="9"/>
    <w:rPr>
      <w:rFonts w:asciiTheme="majorHAnsi" w:hAnsiTheme="majorHAnsi" w:eastAsiaTheme="majorEastAsia" w:cstheme="majorBidi"/>
      <w:b/>
      <w:bCs/>
      <w:sz w:val="32"/>
      <w:szCs w:val="32"/>
    </w:rPr>
  </w:style>
  <w:style w:type="character" w:customStyle="1" w:styleId="39">
    <w:name w:val="正文文本 Char"/>
    <w:link w:val="8"/>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8"/>
    <w:semiHidden/>
    <w:qFormat/>
    <w:uiPriority w:val="99"/>
    <w:rPr>
      <w:rFonts w:ascii="Tahoma" w:hAnsi="Tahoma"/>
    </w:rPr>
  </w:style>
  <w:style w:type="character" w:customStyle="1" w:styleId="44">
    <w:name w:val="批注框文本 Char"/>
    <w:basedOn w:val="18"/>
    <w:link w:val="10"/>
    <w:semiHidden/>
    <w:qFormat/>
    <w:uiPriority w:val="99"/>
    <w:rPr>
      <w:rFonts w:ascii="Tahoma" w:hAnsi="Tahoma"/>
      <w:sz w:val="18"/>
      <w:szCs w:val="18"/>
    </w:rPr>
  </w:style>
  <w:style w:type="character" w:customStyle="1" w:styleId="45">
    <w:name w:val="批注文字 Char"/>
    <w:basedOn w:val="18"/>
    <w:link w:val="7"/>
    <w:semiHidden/>
    <w:qFormat/>
    <w:uiPriority w:val="99"/>
    <w:rPr>
      <w:rFonts w:ascii="Tahoma" w:hAnsi="Tahoma"/>
    </w:rPr>
  </w:style>
  <w:style w:type="character" w:customStyle="1" w:styleId="46">
    <w:name w:val="批注主题 Char"/>
    <w:basedOn w:val="45"/>
    <w:link w:val="16"/>
    <w:semiHidden/>
    <w:qFormat/>
    <w:uiPriority w:val="99"/>
    <w:rPr>
      <w:rFonts w:ascii="Tahoma" w:hAnsi="Tahoma"/>
      <w:b/>
      <w:bCs/>
    </w:rPr>
  </w:style>
  <w:style w:type="paragraph" w:customStyle="1" w:styleId="47">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 w:type="paragraph" w:customStyle="1" w:styleId="48">
    <w:name w:val="修订1"/>
    <w:hidden/>
    <w:semiHidden/>
    <w:qFormat/>
    <w:uiPriority w:val="99"/>
    <w:rPr>
      <w:rFonts w:ascii="Tahoma" w:hAnsi="Tahoma" w:eastAsia="微软雅黑" w:cstheme="minorBidi"/>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EFA6D3-E74A-406D-8EE5-4BF500DE9BA9}">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36</Pages>
  <Words>2466</Words>
  <Characters>14061</Characters>
  <Lines>117</Lines>
  <Paragraphs>32</Paragraphs>
  <TotalTime>45</TotalTime>
  <ScaleCrop>false</ScaleCrop>
  <LinksUpToDate>false</LinksUpToDate>
  <CharactersWithSpaces>16495</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2019-06-04T02:30:00Z</dcterms:created>
  <dc:creator>chenle</dc:creator>
  <cp:lastModifiedBy>lenovo</cp:lastModifiedBy>
  <dcterms:modified xsi:type="dcterms:W3CDTF">2019-07-04T07:21:41Z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