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项目名称：数码显微系统</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7"/>
        <w:ind w:firstLine="0"/>
        <w:jc w:val="center"/>
        <w:rPr>
          <w:b/>
          <w:bCs/>
          <w:sz w:val="32"/>
        </w:rPr>
      </w:pPr>
      <w:r>
        <w:rPr>
          <w:rFonts w:hint="eastAsia"/>
          <w:b/>
          <w:bCs/>
          <w:sz w:val="32"/>
        </w:rPr>
        <w:t>项目编号：NJMUZB3012019017</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513029200"/>
      <w:bookmarkStart w:id="4" w:name="_Toc479757206"/>
      <w:bookmarkStart w:id="5" w:name="_Toc523127445"/>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_Toc513029242"/>
      <w:bookmarkStart w:id="9" w:name="_Toc16938558"/>
      <w:bookmarkStart w:id="10" w:name="_Toc120614221"/>
      <w:bookmarkStart w:id="11" w:name="_Toc20823314"/>
      <w:bookmarkStart w:id="12" w:name="OLE_LINK2"/>
      <w:bookmarkStart w:id="13" w:name="_Toc120614211"/>
      <w:bookmarkStart w:id="14" w:name="_Toc479757207"/>
      <w:bookmarkStart w:id="15" w:name="OLE_LINK1"/>
      <w:bookmarkStart w:id="16" w:name="_Toc444669970"/>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数码显微系统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left="3639" w:leftChars="254" w:hanging="3080" w:hangingChars="11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（一）采购项目名称：数码显微系统购置项目</w:t>
      </w:r>
    </w:p>
    <w:p>
      <w:pPr>
        <w:spacing w:after="0" w:line="5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（二）采购项目编号：NJMUZB3012019017</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 xml:space="preserve">预算：￥ </w:t>
      </w:r>
      <w:r>
        <w:rPr>
          <w:rFonts w:hint="eastAsia" w:asciiTheme="minorEastAsia" w:hAnsiTheme="minorEastAsia" w:eastAsiaTheme="minorEastAsia"/>
          <w:sz w:val="28"/>
          <w:szCs w:val="28"/>
        </w:rPr>
        <w:t>11万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（二）进口设备一律采用人民币报价(包干价)，其他币种报价不予接受，后果由投标人承担。</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（三）如为进口设备，需提供免税报价。</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2、2017或2018年度的</w:t>
      </w:r>
      <w:r>
        <w:rPr>
          <w:rFonts w:asciiTheme="minorEastAsia" w:hAnsiTheme="minorEastAsia" w:eastAsiaTheme="minorEastAsia"/>
          <w:sz w:val="28"/>
          <w:szCs w:val="28"/>
        </w:rPr>
        <w:t>财务状况报告</w:t>
      </w:r>
      <w:r>
        <w:rPr>
          <w:rFonts w:hint="eastAsia"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投标文件接收开始时间：2019年04月11日上午8:30（北京时间）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投标文件接收截止时间：2019年04月11日上午9:15（北京时间）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r>
        <w:rPr>
          <w:rFonts w:asciiTheme="minorEastAsia" w:hAnsiTheme="minorEastAsia" w:eastAsiaTheme="minorEastAsia"/>
          <w:sz w:val="24"/>
          <w:szCs w:val="24"/>
          <w:u w:val="single"/>
        </w:rPr>
        <w:t xml:space="preserve">                             </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2019年04月11日上午9:15（北京时间）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 025-86868572 </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项目需求方联系人：唐老师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 13770847753</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16938518"/>
      <w:bookmarkStart w:id="20" w:name="_Toc120614213"/>
      <w:bookmarkStart w:id="21" w:name="_Toc20823274"/>
      <w:bookmarkStart w:id="22" w:name="_Toc513029202"/>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16938519"/>
      <w:bookmarkStart w:id="24" w:name="_Toc20823275"/>
      <w:bookmarkStart w:id="25" w:name="_Toc513029203"/>
      <w:bookmarkStart w:id="26" w:name="_Toc120614214"/>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513029204"/>
      <w:bookmarkStart w:id="30" w:name="_Toc20823276"/>
      <w:bookmarkStart w:id="31" w:name="_Toc16938520"/>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16938521"/>
      <w:bookmarkStart w:id="33" w:name="_Toc20823277"/>
      <w:bookmarkStart w:id="34" w:name="_Toc513029205"/>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513029206"/>
      <w:bookmarkStart w:id="36" w:name="_Toc16938522"/>
      <w:bookmarkStart w:id="37" w:name="_Toc20823278"/>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16938523"/>
      <w:bookmarkStart w:id="39" w:name="_Toc462564067"/>
      <w:bookmarkStart w:id="40" w:name="_Toc20823279"/>
      <w:bookmarkStart w:id="41" w:name="_Toc513029207"/>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120614215"/>
      <w:bookmarkStart w:id="43" w:name="_Toc513029209"/>
      <w:bookmarkStart w:id="44" w:name="_Toc16938525"/>
      <w:bookmarkStart w:id="45" w:name="_Toc20823281"/>
      <w:bookmarkStart w:id="46" w:name="_Toc517190883"/>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16938526"/>
      <w:bookmarkStart w:id="48" w:name="_Toc20823282"/>
      <w:bookmarkStart w:id="49" w:name="_Toc513029210"/>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462564070"/>
      <w:bookmarkStart w:id="51" w:name="_Toc513029211"/>
      <w:bookmarkStart w:id="52" w:name="_Toc20823283"/>
      <w:bookmarkStart w:id="53" w:name="_Toc16938527"/>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20823284"/>
      <w:bookmarkStart w:id="55" w:name="_Toc462564071"/>
      <w:bookmarkStart w:id="56" w:name="_Toc16938528"/>
      <w:bookmarkStart w:id="57" w:name="_Toc513029212"/>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517190884"/>
      <w:bookmarkStart w:id="59" w:name="_Toc513029213"/>
      <w:bookmarkStart w:id="60" w:name="_Toc16938529"/>
      <w:bookmarkStart w:id="61" w:name="_Toc462564072"/>
      <w:bookmarkStart w:id="62" w:name="_Toc120614216"/>
      <w:bookmarkStart w:id="63" w:name="_Toc20823285"/>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16938530"/>
      <w:bookmarkStart w:id="65" w:name="_Toc462564073"/>
      <w:bookmarkStart w:id="66" w:name="_Toc513029214"/>
      <w:bookmarkStart w:id="67" w:name="_Toc20823286"/>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462564074"/>
      <w:bookmarkStart w:id="69" w:name="_Toc20823287"/>
      <w:bookmarkStart w:id="70" w:name="_Toc16938531"/>
      <w:bookmarkStart w:id="71" w:name="_Toc513029215"/>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954838"/>
      <w:bookmarkEnd w:id="72"/>
      <w:bookmarkStart w:id="73" w:name="_Hlt26670360"/>
      <w:bookmarkEnd w:id="73"/>
      <w:bookmarkStart w:id="74" w:name="_Hlt26668975"/>
      <w:bookmarkEnd w:id="74"/>
      <w:bookmarkStart w:id="75" w:name="_Toc513029219"/>
      <w:bookmarkStart w:id="76" w:name="_Toc49090509"/>
      <w:bookmarkStart w:id="77" w:name="_Toc14577357"/>
      <w:bookmarkStart w:id="78" w:name="_Toc14577354"/>
      <w:bookmarkStart w:id="79" w:name="_Toc513029216"/>
      <w:bookmarkStart w:id="80" w:name="_Toc49090507"/>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670425"/>
      <w:bookmarkEnd w:id="87"/>
      <w:bookmarkStart w:id="88" w:name="_Hlt26668983"/>
      <w:bookmarkEnd w:id="88"/>
      <w:bookmarkStart w:id="89" w:name="_Hlt26954842"/>
      <w:bookmarkEnd w:id="89"/>
      <w:bookmarkStart w:id="90" w:name="_Hlt26670403"/>
      <w:bookmarkEnd w:id="90"/>
      <w:bookmarkStart w:id="91" w:name="_Hlt26954844"/>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954846"/>
      <w:bookmarkEnd w:id="92"/>
      <w:bookmarkStart w:id="93" w:name="_Hlt26670486"/>
      <w:bookmarkEnd w:id="93"/>
      <w:bookmarkStart w:id="94" w:name="_Hlt26954731"/>
      <w:bookmarkEnd w:id="94"/>
      <w:bookmarkStart w:id="95" w:name="_Hlt26954848"/>
      <w:bookmarkEnd w:id="95"/>
      <w:bookmarkStart w:id="96" w:name="_Hlt26670482"/>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14577359"/>
      <w:bookmarkStart w:id="98"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7"/>
      <w:bookmarkEnd w:id="98"/>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9" w:name="_Hlt26670489"/>
      <w:bookmarkEnd w:id="99"/>
      <w:bookmarkStart w:id="100" w:name="_Hlt26954852"/>
      <w:bookmarkEnd w:id="100"/>
      <w:bookmarkStart w:id="101" w:name="_Hlt26954734"/>
      <w:bookmarkEnd w:id="101"/>
      <w:bookmarkStart w:id="102" w:name="_Hlt26954850"/>
      <w:bookmarkEnd w:id="102"/>
      <w:bookmarkStart w:id="103" w:name="_Hlt26954739"/>
      <w:bookmarkEnd w:id="103"/>
      <w:bookmarkStart w:id="104" w:name="_Toc14577361"/>
      <w:bookmarkStart w:id="105" w:name="_Toc49090512"/>
      <w:r>
        <w:rPr>
          <w:rFonts w:hint="eastAsia"/>
          <w:b/>
          <w:bCs/>
          <w:sz w:val="28"/>
          <w:szCs w:val="28"/>
        </w:rPr>
        <w:t>17、投标文件份数和签署</w:t>
      </w:r>
      <w:bookmarkEnd w:id="104"/>
      <w:bookmarkEnd w:id="105"/>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6" w:name="_Toc16938540"/>
      <w:bookmarkStart w:id="107" w:name="_Toc20823296"/>
      <w:bookmarkStart w:id="108" w:name="_Toc517190885"/>
      <w:bookmarkStart w:id="109" w:name="_Toc513029224"/>
      <w:bookmarkStart w:id="110" w:name="_Toc120614217"/>
      <w:r>
        <w:rPr>
          <w:rFonts w:hint="eastAsia"/>
          <w:b/>
          <w:sz w:val="28"/>
          <w:szCs w:val="28"/>
        </w:rPr>
        <w:t>四、投标文件的递交</w:t>
      </w:r>
      <w:bookmarkEnd w:id="106"/>
      <w:bookmarkEnd w:id="107"/>
      <w:bookmarkEnd w:id="108"/>
      <w:bookmarkEnd w:id="109"/>
      <w:bookmarkEnd w:id="110"/>
    </w:p>
    <w:p>
      <w:pPr>
        <w:pStyle w:val="27"/>
        <w:rPr>
          <w:b/>
          <w:bCs/>
          <w:sz w:val="28"/>
          <w:szCs w:val="28"/>
        </w:rPr>
      </w:pPr>
      <w:bookmarkStart w:id="111" w:name="_Toc16938541"/>
      <w:bookmarkStart w:id="112" w:name="_Toc20823297"/>
      <w:bookmarkStart w:id="113" w:name="_Toc462564084"/>
      <w:bookmarkStart w:id="114" w:name="_Toc513029225"/>
      <w:r>
        <w:rPr>
          <w:rFonts w:hint="eastAsia"/>
          <w:b/>
          <w:bCs/>
          <w:sz w:val="28"/>
          <w:szCs w:val="28"/>
        </w:rPr>
        <w:t>18、投标文件的密封和标记</w:t>
      </w:r>
      <w:bookmarkEnd w:id="111"/>
      <w:bookmarkEnd w:id="112"/>
      <w:bookmarkEnd w:id="113"/>
      <w:bookmarkEnd w:id="114"/>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5" w:name="_Toc16938542"/>
      <w:bookmarkStart w:id="116" w:name="_Toc20823298"/>
      <w:bookmarkStart w:id="117" w:name="_Toc513029226"/>
      <w:r>
        <w:rPr>
          <w:rFonts w:hint="eastAsia"/>
          <w:b/>
          <w:bCs/>
          <w:sz w:val="28"/>
          <w:szCs w:val="28"/>
        </w:rPr>
        <w:t>19、投标截止</w:t>
      </w:r>
      <w:bookmarkEnd w:id="115"/>
      <w:bookmarkEnd w:id="116"/>
      <w:bookmarkEnd w:id="117"/>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8" w:name="_Toc20823299"/>
      <w:bookmarkStart w:id="119" w:name="_Toc513029227"/>
      <w:bookmarkStart w:id="120" w:name="_Toc16938543"/>
      <w:r>
        <w:rPr>
          <w:rFonts w:hint="eastAsia"/>
          <w:b/>
          <w:bCs/>
          <w:sz w:val="28"/>
          <w:szCs w:val="28"/>
        </w:rPr>
        <w:t>20、投标文件</w:t>
      </w:r>
      <w:bookmarkEnd w:id="118"/>
      <w:bookmarkEnd w:id="119"/>
      <w:bookmarkEnd w:id="120"/>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1" w:name="_Toc513029228"/>
      <w:bookmarkStart w:id="122" w:name="_Toc16938544"/>
      <w:bookmarkStart w:id="123" w:name="_Toc20823300"/>
      <w:r>
        <w:rPr>
          <w:rFonts w:hint="eastAsia"/>
          <w:b/>
          <w:bCs/>
          <w:sz w:val="28"/>
          <w:szCs w:val="28"/>
        </w:rPr>
        <w:t>21、投标文件的修改和撤回</w:t>
      </w:r>
      <w:bookmarkEnd w:id="121"/>
      <w:bookmarkEnd w:id="122"/>
      <w:bookmarkEnd w:id="123"/>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4" w:name="_Toc20823301"/>
      <w:bookmarkStart w:id="125" w:name="_Toc16938545"/>
      <w:bookmarkStart w:id="126" w:name="_Toc120614218"/>
      <w:bookmarkStart w:id="127" w:name="_Toc517190886"/>
      <w:bookmarkStart w:id="128" w:name="_Toc513029229"/>
      <w:r>
        <w:rPr>
          <w:rFonts w:hint="eastAsia"/>
          <w:b/>
          <w:sz w:val="28"/>
          <w:szCs w:val="28"/>
        </w:rPr>
        <w:t>五、开标与评标</w:t>
      </w:r>
      <w:bookmarkEnd w:id="124"/>
      <w:bookmarkEnd w:id="125"/>
      <w:bookmarkEnd w:id="126"/>
      <w:bookmarkEnd w:id="127"/>
      <w:bookmarkEnd w:id="128"/>
    </w:p>
    <w:p>
      <w:pPr>
        <w:pStyle w:val="27"/>
        <w:rPr>
          <w:b/>
          <w:bCs/>
          <w:sz w:val="28"/>
          <w:szCs w:val="28"/>
        </w:rPr>
      </w:pPr>
      <w:bookmarkStart w:id="129" w:name="_Toc513029230"/>
      <w:bookmarkStart w:id="130" w:name="_Toc16938546"/>
      <w:bookmarkStart w:id="131" w:name="_Toc20823302"/>
      <w:r>
        <w:rPr>
          <w:rFonts w:hint="eastAsia"/>
          <w:b/>
          <w:bCs/>
          <w:sz w:val="28"/>
          <w:szCs w:val="28"/>
        </w:rPr>
        <w:t>22、开标</w:t>
      </w:r>
      <w:bookmarkEnd w:id="129"/>
      <w:bookmarkEnd w:id="130"/>
      <w:bookmarkEnd w:id="131"/>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2" w:name="_Toc513029231"/>
      <w:bookmarkStart w:id="133" w:name="_Toc16938547"/>
      <w:bookmarkStart w:id="134"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27"/>
        <w:rPr>
          <w:b/>
          <w:bCs/>
          <w:sz w:val="28"/>
          <w:szCs w:val="28"/>
        </w:rPr>
      </w:pPr>
      <w:bookmarkStart w:id="135" w:name="_Toc513029232"/>
      <w:bookmarkStart w:id="136" w:name="_Toc16938548"/>
      <w:bookmarkStart w:id="137" w:name="_Toc20823304"/>
      <w:r>
        <w:rPr>
          <w:rFonts w:hint="eastAsia"/>
          <w:b/>
          <w:bCs/>
          <w:sz w:val="28"/>
          <w:szCs w:val="28"/>
        </w:rPr>
        <w:t>24．投标的澄清</w:t>
      </w:r>
      <w:bookmarkEnd w:id="135"/>
      <w:bookmarkEnd w:id="136"/>
      <w:bookmarkEnd w:id="137"/>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8" w:name="_Toc20823306"/>
      <w:bookmarkStart w:id="139" w:name="_Toc513029234"/>
      <w:bookmarkStart w:id="140" w:name="_Toc16938550"/>
      <w:r>
        <w:rPr>
          <w:rFonts w:hint="eastAsia"/>
          <w:b/>
          <w:bCs/>
          <w:sz w:val="28"/>
          <w:szCs w:val="28"/>
        </w:rPr>
        <w:t>25、</w:t>
      </w:r>
      <w:bookmarkEnd w:id="138"/>
      <w:bookmarkEnd w:id="139"/>
      <w:bookmarkEnd w:id="140"/>
      <w:r>
        <w:rPr>
          <w:rFonts w:hint="eastAsia"/>
          <w:b/>
          <w:bCs/>
          <w:sz w:val="28"/>
          <w:szCs w:val="28"/>
        </w:rPr>
        <w:t>无效投标条款和废标条款</w:t>
      </w:r>
    </w:p>
    <w:p>
      <w:pPr>
        <w:pStyle w:val="27"/>
        <w:rPr>
          <w:bCs/>
          <w:sz w:val="28"/>
          <w:szCs w:val="28"/>
        </w:rPr>
      </w:pPr>
      <w:bookmarkStart w:id="141" w:name="_Toc513029235"/>
      <w:bookmarkStart w:id="142" w:name="_Toc20823307"/>
      <w:bookmarkStart w:id="143" w:name="_Toc16938551"/>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pPr>
        <w:pStyle w:val="27"/>
        <w:rPr>
          <w:b/>
          <w:sz w:val="28"/>
          <w:szCs w:val="28"/>
        </w:rPr>
      </w:pPr>
      <w:bookmarkStart w:id="146" w:name="_Toc513029238"/>
      <w:bookmarkStart w:id="147" w:name="_Toc20823310"/>
      <w:bookmarkStart w:id="148" w:name="_Toc16938554"/>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9" w:name="OLE_LINK4"/>
      <w:bookmarkStart w:id="150" w:name="OLE_LINK3"/>
      <w:bookmarkStart w:id="151" w:name="OLE_LINK7"/>
      <w:bookmarkStart w:id="152" w:name="OLE_LINK5"/>
      <w:bookmarkStart w:id="153" w:name="OLE_LINK8"/>
      <w:bookmarkStart w:id="154" w:name="OLE_LINK6"/>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5"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5"/>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6" w:name="_Toc120614220"/>
      <w:bookmarkStart w:id="157" w:name="_Toc517190888"/>
      <w:bookmarkStart w:id="158" w:name="_Toc513029236"/>
      <w:bookmarkStart w:id="159" w:name="_Toc20823308"/>
      <w:bookmarkStart w:id="160" w:name="_Toc16938552"/>
      <w:r>
        <w:rPr>
          <w:rFonts w:hint="eastAsia"/>
          <w:b/>
          <w:sz w:val="28"/>
          <w:szCs w:val="28"/>
        </w:rPr>
        <w:t>七、授予合同</w:t>
      </w:r>
      <w:bookmarkEnd w:id="156"/>
      <w:bookmarkEnd w:id="157"/>
    </w:p>
    <w:bookmarkEnd w:id="158"/>
    <w:bookmarkEnd w:id="159"/>
    <w:bookmarkEnd w:id="160"/>
    <w:p>
      <w:pPr>
        <w:pStyle w:val="27"/>
        <w:rPr>
          <w:b/>
          <w:sz w:val="28"/>
          <w:szCs w:val="28"/>
        </w:rPr>
      </w:pPr>
      <w:bookmarkStart w:id="161" w:name="_Toc513029237"/>
      <w:bookmarkStart w:id="162" w:name="_Toc20823309"/>
      <w:bookmarkStart w:id="163"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sz w:val="28"/>
          <w:szCs w:val="28"/>
        </w:rPr>
      </w:pPr>
      <w:bookmarkStart w:id="164" w:name="_Toc517190889"/>
      <w:r>
        <w:rPr>
          <w:rFonts w:hint="eastAsia"/>
          <w:b/>
          <w:sz w:val="28"/>
          <w:szCs w:val="28"/>
        </w:rPr>
        <w:t>八、其他</w:t>
      </w:r>
      <w:bookmarkEnd w:id="164"/>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5" w:name="_Toc523931347"/>
      <w:r>
        <w:rPr>
          <w:rFonts w:hint="eastAsia" w:asciiTheme="minorEastAsia" w:hAnsiTheme="minorEastAsia" w:eastAsiaTheme="minorEastAsia"/>
          <w:b/>
          <w:sz w:val="44"/>
          <w:szCs w:val="44"/>
        </w:rPr>
        <w:t>第三章   项目需求</w:t>
      </w:r>
      <w:bookmarkEnd w:id="165"/>
    </w:p>
    <w:p>
      <w:pPr>
        <w:pStyle w:val="33"/>
        <w:spacing w:line="360" w:lineRule="auto"/>
        <w:ind w:firstLine="440"/>
        <w:rPr>
          <w:rFonts w:ascii="Times New Roman" w:hAnsi="宋体" w:cs="宋体"/>
          <w:b/>
        </w:rPr>
      </w:pPr>
    </w:p>
    <w:p>
      <w:pPr>
        <w:spacing w:line="360" w:lineRule="auto"/>
        <w:rPr>
          <w:rFonts w:asciiTheme="minorEastAsia" w:hAnsiTheme="minorEastAsia" w:eastAsiaTheme="minorEastAsia"/>
          <w:b/>
          <w:bCs/>
          <w:sz w:val="28"/>
          <w:szCs w:val="28"/>
        </w:rPr>
      </w:pPr>
      <w:bookmarkStart w:id="166" w:name="_Toc401414769"/>
      <w:r>
        <w:rPr>
          <w:rFonts w:hint="eastAsia" w:asciiTheme="minorEastAsia" w:hAnsiTheme="minorEastAsia" w:eastAsiaTheme="minorEastAsia"/>
          <w:b/>
          <w:bCs/>
          <w:sz w:val="28"/>
          <w:szCs w:val="28"/>
        </w:rPr>
        <w:t>一、参数要求</w:t>
      </w:r>
    </w:p>
    <w:p>
      <w:pPr>
        <w:spacing w:line="360" w:lineRule="auto"/>
        <w:rPr>
          <w:rFonts w:asciiTheme="minorEastAsia" w:hAnsiTheme="minorEastAsia" w:eastAsiaTheme="minorEastAsia"/>
          <w:b/>
          <w:bCs/>
          <w:sz w:val="28"/>
          <w:szCs w:val="28"/>
        </w:rPr>
      </w:pPr>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asciiTheme="minorEastAsia" w:hAnsiTheme="minorEastAsia" w:eastAsiaTheme="minorEastAsia"/>
          <w:sz w:val="28"/>
          <w:szCs w:val="28"/>
        </w:rPr>
        <w:t>数码显微成像</w:t>
      </w:r>
    </w:p>
    <w:p>
      <w:pPr>
        <w:pStyle w:val="15"/>
        <w:spacing w:line="0" w:lineRule="atLeast"/>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spacing w:line="239"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光学系统:</w:t>
      </w:r>
    </w:p>
    <w:p>
      <w:pPr>
        <w:spacing w:line="239" w:lineRule="auto"/>
        <w:ind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★1.1</w:t>
      </w:r>
      <w:r>
        <w:rPr>
          <w:rFonts w:asciiTheme="minorEastAsia" w:hAnsiTheme="minorEastAsia" w:eastAsiaTheme="minorEastAsia"/>
          <w:sz w:val="28"/>
          <w:szCs w:val="28"/>
        </w:rPr>
        <w:t>采用高性能的 IC</w:t>
      </w:r>
      <w:r>
        <w:rPr>
          <w:rFonts w:hint="eastAsia" w:asciiTheme="minorEastAsia" w:hAnsiTheme="minorEastAsia" w:eastAsiaTheme="minorEastAsia"/>
          <w:sz w:val="28"/>
          <w:szCs w:val="28"/>
        </w:rPr>
        <w:t>2</w:t>
      </w:r>
      <w:r>
        <w:rPr>
          <w:rFonts w:asciiTheme="minorEastAsia" w:hAnsiTheme="minorEastAsia" w:eastAsiaTheme="minorEastAsia"/>
          <w:sz w:val="28"/>
          <w:szCs w:val="28"/>
        </w:rPr>
        <w:t>S 无限远光学系统，高分辨率、高反差、高色还原</w:t>
      </w:r>
      <w:r>
        <w:rPr>
          <w:rFonts w:hint="eastAsia" w:asciiTheme="minorEastAsia" w:hAnsiTheme="minorEastAsia" w:eastAsiaTheme="minorEastAsia"/>
          <w:sz w:val="28"/>
          <w:szCs w:val="28"/>
        </w:rPr>
        <w:t>；</w:t>
      </w:r>
    </w:p>
    <w:p>
      <w:pPr>
        <w:tabs>
          <w:tab w:val="left" w:pos="880"/>
        </w:tabs>
        <w:spacing w:line="0" w:lineRule="atLeas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1.2</w:t>
      </w:r>
      <w:r>
        <w:rPr>
          <w:rFonts w:asciiTheme="minorEastAsia" w:hAnsiTheme="minorEastAsia" w:eastAsiaTheme="minorEastAsia"/>
          <w:sz w:val="28"/>
          <w:szCs w:val="28"/>
        </w:rPr>
        <w:t>国际标准的 45mm 物镜齐焦距离；</w:t>
      </w:r>
    </w:p>
    <w:p>
      <w:pPr>
        <w:spacing w:line="239" w:lineRule="auto"/>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1.3</w:t>
      </w:r>
      <w:r>
        <w:rPr>
          <w:rFonts w:asciiTheme="minorEastAsia" w:hAnsiTheme="minorEastAsia" w:eastAsiaTheme="minorEastAsia"/>
          <w:sz w:val="28"/>
          <w:szCs w:val="28"/>
        </w:rPr>
        <w:t>不用化学药品的绿色环保防霉技术</w:t>
      </w:r>
      <w:r>
        <w:rPr>
          <w:rFonts w:hint="eastAsia" w:asciiTheme="minorEastAsia" w:hAnsiTheme="minorEastAsia" w:eastAsiaTheme="minorEastAsia"/>
          <w:sz w:val="28"/>
          <w:szCs w:val="28"/>
        </w:rPr>
        <w:t>；</w:t>
      </w:r>
    </w:p>
    <w:p>
      <w:pPr>
        <w:tabs>
          <w:tab w:val="left" w:pos="460"/>
        </w:tabs>
        <w:spacing w:line="239"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主机:符合人机工程学原理的高性能主机，配备精确定位的四位物镜转换器，国际标准W0.8 接口</w:t>
      </w:r>
      <w:r>
        <w:rPr>
          <w:rFonts w:hint="eastAsia" w:asciiTheme="minorEastAsia" w:hAnsiTheme="minorEastAsia" w:eastAsiaTheme="minorEastAsia"/>
          <w:sz w:val="28"/>
          <w:szCs w:val="28"/>
        </w:rPr>
        <w:t>；</w:t>
      </w:r>
    </w:p>
    <w:p>
      <w:pPr>
        <w:spacing w:line="275" w:lineRule="auto"/>
        <w:ind w:left="990" w:leftChars="160" w:right="20" w:hanging="638" w:hangingChars="228"/>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目镜观察筒:使用极为舒适的 30°摄影观察筒，视场直径 20mm</w:t>
      </w:r>
      <w:r>
        <w:rPr>
          <w:rFonts w:hint="eastAsia" w:asciiTheme="minorEastAsia" w:hAnsiTheme="minorEastAsia" w:eastAsiaTheme="minorEastAsia"/>
          <w:sz w:val="28"/>
          <w:szCs w:val="28"/>
        </w:rPr>
        <w:t>，</w:t>
      </w:r>
      <w:r>
        <w:rPr>
          <w:rFonts w:asciiTheme="minorEastAsia" w:hAnsiTheme="minorEastAsia" w:eastAsiaTheme="minorEastAsia"/>
          <w:sz w:val="28"/>
          <w:szCs w:val="28"/>
        </w:rPr>
        <w:t>铰链式观察筒，可上下翻转，双眼点；也可 360 度旋转，</w:t>
      </w:r>
      <w:r>
        <w:rPr>
          <w:rFonts w:hint="eastAsia" w:asciiTheme="minorEastAsia" w:hAnsiTheme="minorEastAsia" w:eastAsiaTheme="minorEastAsia"/>
          <w:sz w:val="28"/>
          <w:szCs w:val="28"/>
        </w:rPr>
        <w:t>更为</w:t>
      </w:r>
      <w:r>
        <w:rPr>
          <w:rFonts w:asciiTheme="minorEastAsia" w:hAnsiTheme="minorEastAsia" w:eastAsiaTheme="minorEastAsia"/>
          <w:sz w:val="28"/>
          <w:szCs w:val="28"/>
        </w:rPr>
        <w:t>方便</w:t>
      </w:r>
      <w:r>
        <w:rPr>
          <w:rFonts w:hint="eastAsia" w:asciiTheme="minorEastAsia" w:hAnsiTheme="minorEastAsia" w:eastAsiaTheme="minorEastAsia"/>
          <w:sz w:val="28"/>
          <w:szCs w:val="28"/>
        </w:rPr>
        <w:t>使用；</w:t>
      </w:r>
    </w:p>
    <w:p>
      <w:pPr>
        <w:tabs>
          <w:tab w:val="left" w:pos="400"/>
        </w:tabs>
        <w:spacing w:line="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观察筒内置 500 万像素高清</w:t>
      </w:r>
      <w:r>
        <w:rPr>
          <w:rFonts w:hint="eastAsia" w:asciiTheme="minorEastAsia" w:hAnsiTheme="minorEastAsia" w:eastAsiaTheme="minorEastAsia"/>
          <w:sz w:val="28"/>
          <w:szCs w:val="28"/>
        </w:rPr>
        <w:t>数码</w:t>
      </w:r>
      <w:r>
        <w:rPr>
          <w:rFonts w:asciiTheme="minorEastAsia" w:hAnsiTheme="minorEastAsia" w:eastAsiaTheme="minorEastAsia"/>
          <w:sz w:val="28"/>
          <w:szCs w:val="28"/>
        </w:rPr>
        <w:t>相机，具备 4 种数据传送方式：</w:t>
      </w:r>
    </w:p>
    <w:p>
      <w:pPr>
        <w:tabs>
          <w:tab w:val="left" w:pos="400"/>
        </w:tabs>
        <w:spacing w:line="0" w:lineRule="atLeas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4.1</w:t>
      </w:r>
      <w:r>
        <w:rPr>
          <w:rFonts w:asciiTheme="minorEastAsia" w:hAnsiTheme="minorEastAsia" w:eastAsiaTheme="minorEastAsia"/>
          <w:sz w:val="28"/>
          <w:szCs w:val="28"/>
        </w:rPr>
        <w:t>直接保存至 SD 卡</w:t>
      </w:r>
      <w:r>
        <w:rPr>
          <w:rFonts w:hint="eastAsia" w:asciiTheme="minorEastAsia" w:hAnsiTheme="minorEastAsia" w:eastAsiaTheme="minorEastAsia"/>
          <w:sz w:val="28"/>
          <w:szCs w:val="28"/>
        </w:rPr>
        <w:t>；</w:t>
      </w:r>
    </w:p>
    <w:p>
      <w:pPr>
        <w:tabs>
          <w:tab w:val="left" w:pos="400"/>
        </w:tabs>
        <w:spacing w:line="0" w:lineRule="atLeas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4.2</w:t>
      </w:r>
      <w:r>
        <w:rPr>
          <w:rFonts w:asciiTheme="minorEastAsia" w:hAnsiTheme="minorEastAsia" w:eastAsiaTheme="minorEastAsia"/>
          <w:sz w:val="28"/>
          <w:szCs w:val="28"/>
        </w:rPr>
        <w:t xml:space="preserve"> Mini USB 2.0 连接至电脑</w:t>
      </w:r>
      <w:r>
        <w:rPr>
          <w:rFonts w:hint="eastAsia" w:asciiTheme="minorEastAsia" w:hAnsiTheme="minorEastAsia" w:eastAsiaTheme="minorEastAsia"/>
          <w:sz w:val="28"/>
          <w:szCs w:val="28"/>
        </w:rPr>
        <w:t>；</w:t>
      </w:r>
    </w:p>
    <w:p>
      <w:pPr>
        <w:tabs>
          <w:tab w:val="left" w:pos="400"/>
        </w:tabs>
        <w:spacing w:line="0" w:lineRule="atLeas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4.3</w:t>
      </w:r>
      <w:r>
        <w:rPr>
          <w:rFonts w:asciiTheme="minorEastAsia" w:hAnsiTheme="minorEastAsia" w:eastAsiaTheme="minorEastAsia"/>
          <w:sz w:val="28"/>
          <w:szCs w:val="28"/>
        </w:rPr>
        <w:t xml:space="preserve"> HDMI 直接显示</w:t>
      </w:r>
      <w:r>
        <w:rPr>
          <w:rFonts w:hint="eastAsia" w:asciiTheme="minorEastAsia" w:hAnsiTheme="minorEastAsia" w:eastAsiaTheme="minorEastAsia"/>
          <w:sz w:val="28"/>
          <w:szCs w:val="28"/>
        </w:rPr>
        <w:t>于</w:t>
      </w:r>
      <w:r>
        <w:rPr>
          <w:rFonts w:asciiTheme="minorEastAsia" w:hAnsiTheme="minorEastAsia" w:eastAsiaTheme="minorEastAsia"/>
          <w:sz w:val="28"/>
          <w:szCs w:val="28"/>
        </w:rPr>
        <w:t>高清显示器或电视屏</w:t>
      </w:r>
      <w:r>
        <w:rPr>
          <w:rFonts w:hint="eastAsia" w:asciiTheme="minorEastAsia" w:hAnsiTheme="minorEastAsia" w:eastAsiaTheme="minorEastAsia"/>
          <w:sz w:val="28"/>
          <w:szCs w:val="28"/>
        </w:rPr>
        <w:t>；</w:t>
      </w:r>
    </w:p>
    <w:p>
      <w:pPr>
        <w:tabs>
          <w:tab w:val="left" w:pos="400"/>
        </w:tabs>
        <w:spacing w:line="0" w:lineRule="atLeas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4.4</w:t>
      </w:r>
      <w:r>
        <w:rPr>
          <w:rFonts w:asciiTheme="minorEastAsia" w:hAnsiTheme="minorEastAsia" w:eastAsiaTheme="minorEastAsia"/>
          <w:sz w:val="28"/>
          <w:szCs w:val="28"/>
        </w:rPr>
        <w:t xml:space="preserve"> WLAN 网络 iPad WiFi 控制</w:t>
      </w:r>
      <w:r>
        <w:rPr>
          <w:rFonts w:hint="eastAsia" w:asciiTheme="minorEastAsia" w:hAnsiTheme="minorEastAsia" w:eastAsiaTheme="minorEastAsia"/>
          <w:sz w:val="28"/>
          <w:szCs w:val="28"/>
        </w:rPr>
        <w:t>；</w:t>
      </w:r>
    </w:p>
    <w:p>
      <w:pPr>
        <w:ind w:left="279" w:leftChars="127"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目镜:10倍目镜，视场数 20；双眼屈光度可调；带目镜罩 2 只，目镜带锁定螺丝</w:t>
      </w:r>
      <w:r>
        <w:rPr>
          <w:rFonts w:hint="eastAsia" w:asciiTheme="minorEastAsia" w:hAnsiTheme="minorEastAsia" w:eastAsiaTheme="minorEastAsia"/>
          <w:sz w:val="28"/>
          <w:szCs w:val="28"/>
        </w:rPr>
        <w:t>防</w:t>
      </w:r>
      <w:r>
        <w:rPr>
          <w:rFonts w:asciiTheme="minorEastAsia" w:hAnsiTheme="minorEastAsia" w:eastAsiaTheme="minorEastAsia"/>
          <w:sz w:val="28"/>
          <w:szCs w:val="28"/>
        </w:rPr>
        <w:t>丢失</w:t>
      </w:r>
      <w:r>
        <w:rPr>
          <w:rFonts w:hint="eastAsia" w:asciiTheme="minorEastAsia" w:hAnsiTheme="minorEastAsia" w:eastAsiaTheme="minorEastAsia"/>
          <w:sz w:val="28"/>
          <w:szCs w:val="28"/>
        </w:rPr>
        <w:t>；</w:t>
      </w:r>
    </w:p>
    <w:p>
      <w:pPr>
        <w:ind w:left="279" w:leftChars="127"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asciiTheme="minorEastAsia" w:hAnsiTheme="minorEastAsia" w:eastAsiaTheme="minorEastAsia"/>
          <w:sz w:val="28"/>
          <w:szCs w:val="28"/>
        </w:rPr>
        <w:t>载物台</w:t>
      </w:r>
      <w:r>
        <w:rPr>
          <w:rFonts w:hint="eastAsia" w:asciiTheme="minorEastAsia" w:hAnsiTheme="minorEastAsia" w:eastAsiaTheme="minorEastAsia"/>
          <w:sz w:val="28"/>
          <w:szCs w:val="28"/>
        </w:rPr>
        <w:t>：</w:t>
      </w:r>
      <w:r>
        <w:rPr>
          <w:rFonts w:asciiTheme="minorEastAsia" w:hAnsiTheme="minorEastAsia" w:eastAsiaTheme="minorEastAsia"/>
          <w:sz w:val="28"/>
          <w:szCs w:val="28"/>
        </w:rPr>
        <w:t>陶瓷覆</w:t>
      </w:r>
      <w:r>
        <w:rPr>
          <w:rFonts w:hint="eastAsia" w:asciiTheme="minorEastAsia" w:hAnsiTheme="minorEastAsia" w:eastAsiaTheme="minorEastAsia"/>
          <w:sz w:val="28"/>
          <w:szCs w:val="28"/>
        </w:rPr>
        <w:t>膜</w:t>
      </w:r>
      <w:r>
        <w:rPr>
          <w:rFonts w:asciiTheme="minorEastAsia" w:hAnsiTheme="minorEastAsia" w:eastAsiaTheme="minorEastAsia"/>
          <w:sz w:val="28"/>
          <w:szCs w:val="28"/>
        </w:rPr>
        <w:t>机械载物台，载物台面积 75mm×30mm；</w:t>
      </w:r>
    </w:p>
    <w:p>
      <w:pPr>
        <w:tabs>
          <w:tab w:val="left" w:pos="400"/>
        </w:tabs>
        <w:spacing w:line="0" w:lineRule="atLeast"/>
        <w:ind w:left="279" w:leftChars="127"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7.</w:t>
      </w:r>
      <w:r>
        <w:rPr>
          <w:rFonts w:asciiTheme="minorEastAsia" w:hAnsiTheme="minorEastAsia" w:eastAsiaTheme="minorEastAsia"/>
          <w:sz w:val="28"/>
          <w:szCs w:val="28"/>
        </w:rPr>
        <w:t>调焦机构:谐波齿轮精细同轴粗微调焦机构，内置免调节防下滑机构</w:t>
      </w:r>
      <w:r>
        <w:rPr>
          <w:rFonts w:hint="eastAsia" w:asciiTheme="minorEastAsia" w:hAnsiTheme="minorEastAsia" w:eastAsiaTheme="minorEastAsia"/>
          <w:sz w:val="28"/>
          <w:szCs w:val="28"/>
        </w:rPr>
        <w:t>；</w:t>
      </w:r>
    </w:p>
    <w:p>
      <w:pPr>
        <w:tabs>
          <w:tab w:val="left" w:pos="400"/>
        </w:tabs>
        <w:spacing w:line="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★8.</w:t>
      </w:r>
      <w:r>
        <w:rPr>
          <w:rFonts w:asciiTheme="minorEastAsia" w:hAnsiTheme="minorEastAsia" w:eastAsiaTheme="minorEastAsia"/>
          <w:sz w:val="28"/>
          <w:szCs w:val="28"/>
        </w:rPr>
        <w:t>照明系统: 双光源配置，直流 30W 长寿命卤素灯泡，亮度可调节</w:t>
      </w:r>
      <w:r>
        <w:rPr>
          <w:rFonts w:hint="eastAsia" w:asciiTheme="minorEastAsia" w:hAnsiTheme="minorEastAsia" w:eastAsiaTheme="minorEastAsia"/>
          <w:sz w:val="28"/>
          <w:szCs w:val="28"/>
        </w:rPr>
        <w:t>；</w:t>
      </w:r>
      <w:r>
        <w:rPr>
          <w:rFonts w:asciiTheme="minorEastAsia" w:hAnsiTheme="minorEastAsia" w:eastAsiaTheme="minorEastAsia"/>
          <w:sz w:val="28"/>
          <w:szCs w:val="28"/>
        </w:rPr>
        <w:t>LED 长寿命冷光源，并可随意更换光源</w:t>
      </w:r>
      <w:r>
        <w:rPr>
          <w:rFonts w:hint="eastAsia" w:asciiTheme="minorEastAsia" w:hAnsiTheme="minorEastAsia" w:eastAsiaTheme="minorEastAsia"/>
          <w:sz w:val="28"/>
          <w:szCs w:val="28"/>
        </w:rPr>
        <w:t>；</w:t>
      </w:r>
    </w:p>
    <w:p>
      <w:pPr>
        <w:tabs>
          <w:tab w:val="left" w:pos="400"/>
        </w:tabs>
        <w:spacing w:line="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9.</w:t>
      </w:r>
      <w:r>
        <w:rPr>
          <w:rFonts w:asciiTheme="minorEastAsia" w:hAnsiTheme="minorEastAsia" w:eastAsiaTheme="minorEastAsia"/>
          <w:sz w:val="28"/>
          <w:szCs w:val="28"/>
        </w:rPr>
        <w:t xml:space="preserve"> 聚光镜: 高性能的 Abbe 聚光镜</w:t>
      </w:r>
      <w:r>
        <w:rPr>
          <w:rFonts w:hint="eastAsia" w:asciiTheme="minorEastAsia" w:hAnsiTheme="minorEastAsia" w:eastAsiaTheme="minorEastAsia"/>
          <w:sz w:val="28"/>
          <w:szCs w:val="28"/>
        </w:rPr>
        <w:t>；</w:t>
      </w:r>
    </w:p>
    <w:p>
      <w:pPr>
        <w:tabs>
          <w:tab w:val="left" w:pos="400"/>
        </w:tabs>
        <w:spacing w:line="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10.</w:t>
      </w:r>
      <w:r>
        <w:rPr>
          <w:rFonts w:asciiTheme="minorEastAsia" w:hAnsiTheme="minorEastAsia" w:eastAsiaTheme="minorEastAsia"/>
          <w:sz w:val="28"/>
          <w:szCs w:val="28"/>
        </w:rPr>
        <w:t>物镜: 配备4个高性能平场消色差物镜</w:t>
      </w:r>
      <w:r>
        <w:rPr>
          <w:rFonts w:hint="eastAsia" w:asciiTheme="minorEastAsia" w:hAnsiTheme="minorEastAsia" w:eastAsiaTheme="minorEastAsia"/>
          <w:sz w:val="28"/>
          <w:szCs w:val="28"/>
        </w:rPr>
        <w:t>；</w:t>
      </w:r>
    </w:p>
    <w:p>
      <w:pPr>
        <w:tabs>
          <w:tab w:val="left" w:pos="400"/>
        </w:tabs>
        <w:spacing w:line="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11.</w:t>
      </w:r>
      <w:r>
        <w:rPr>
          <w:rFonts w:asciiTheme="minorEastAsia" w:hAnsiTheme="minorEastAsia" w:eastAsiaTheme="minorEastAsia"/>
          <w:sz w:val="28"/>
          <w:szCs w:val="28"/>
        </w:rPr>
        <w:t>滤光片:蓝色,黄色,绿色滤光片各一个</w:t>
      </w:r>
      <w:r>
        <w:rPr>
          <w:rFonts w:hint="eastAsia" w:asciiTheme="minorEastAsia" w:hAnsiTheme="minorEastAsia" w:eastAsiaTheme="minorEastAsia"/>
          <w:sz w:val="28"/>
          <w:szCs w:val="28"/>
        </w:rPr>
        <w:t>；</w:t>
      </w:r>
    </w:p>
    <w:p>
      <w:pPr>
        <w:tabs>
          <w:tab w:val="left" w:pos="400"/>
        </w:tabs>
        <w:spacing w:line="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★12.</w:t>
      </w:r>
      <w:r>
        <w:rPr>
          <w:rFonts w:asciiTheme="minorEastAsia" w:hAnsiTheme="minorEastAsia" w:eastAsiaTheme="minorEastAsia"/>
          <w:sz w:val="28"/>
          <w:szCs w:val="28"/>
        </w:rPr>
        <w:t>镜架两侧蓝色的发光强度显示 ，使用者从远处就可迅速检查发光强度</w:t>
      </w:r>
      <w:r>
        <w:rPr>
          <w:rFonts w:hint="eastAsia" w:asciiTheme="minorEastAsia" w:hAnsiTheme="minorEastAsia" w:eastAsiaTheme="minorEastAsia"/>
          <w:sz w:val="28"/>
          <w:szCs w:val="28"/>
        </w:rPr>
        <w:t>；</w:t>
      </w:r>
    </w:p>
    <w:p>
      <w:pPr>
        <w:tabs>
          <w:tab w:val="left" w:pos="400"/>
        </w:tabs>
        <w:spacing w:line="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★13.软件功能</w:t>
      </w:r>
      <w:r>
        <w:rPr>
          <w:rFonts w:asciiTheme="minorEastAsia" w:hAnsiTheme="minorEastAsia" w:eastAsiaTheme="minorEastAsia"/>
          <w:sz w:val="28"/>
          <w:szCs w:val="28"/>
        </w:rPr>
        <w:t>:</w:t>
      </w:r>
      <w:r>
        <w:rPr>
          <w:rFonts w:hint="eastAsia" w:asciiTheme="minorEastAsia" w:hAnsiTheme="minorEastAsia" w:eastAsiaTheme="minorEastAsia"/>
          <w:sz w:val="28"/>
          <w:szCs w:val="28"/>
        </w:rPr>
        <w:t>配</w:t>
      </w:r>
      <w:r>
        <w:rPr>
          <w:rFonts w:asciiTheme="minorEastAsia" w:hAnsiTheme="minorEastAsia" w:eastAsiaTheme="minorEastAsia"/>
          <w:sz w:val="28"/>
          <w:szCs w:val="28"/>
        </w:rPr>
        <w:t>备原厂同品牌 Apple 认证 App 软件，可通过 iPad 在 App Store 免费下载</w:t>
      </w:r>
      <w:r>
        <w:rPr>
          <w:rFonts w:hint="eastAsia" w:asciiTheme="minorEastAsia" w:hAnsiTheme="minorEastAsia" w:eastAsiaTheme="minorEastAsia"/>
          <w:sz w:val="28"/>
          <w:szCs w:val="28"/>
        </w:rPr>
        <w:t>；</w:t>
      </w:r>
      <w:r>
        <w:rPr>
          <w:rFonts w:asciiTheme="minorEastAsia" w:hAnsiTheme="minorEastAsia" w:eastAsiaTheme="minorEastAsia"/>
          <w:sz w:val="28"/>
          <w:szCs w:val="28"/>
        </w:rPr>
        <w:t>可通过 iPad 画廊式预览网络内所有显微数码相机</w:t>
      </w:r>
      <w:r>
        <w:rPr>
          <w:rFonts w:hint="eastAsia" w:asciiTheme="minorEastAsia" w:hAnsiTheme="minorEastAsia" w:eastAsiaTheme="minorEastAsia"/>
          <w:sz w:val="28"/>
          <w:szCs w:val="28"/>
        </w:rPr>
        <w:t>及图像；</w:t>
      </w:r>
      <w:r>
        <w:rPr>
          <w:rFonts w:asciiTheme="minorEastAsia" w:hAnsiTheme="minorEastAsia" w:eastAsiaTheme="minorEastAsia"/>
          <w:sz w:val="28"/>
          <w:szCs w:val="28"/>
        </w:rPr>
        <w:t>图像可保存为 CZI 格式和 JPG 格式</w:t>
      </w:r>
      <w:r>
        <w:rPr>
          <w:rFonts w:hint="eastAsia" w:asciiTheme="minorEastAsia" w:hAnsiTheme="minorEastAsia" w:eastAsiaTheme="minorEastAsia"/>
          <w:sz w:val="28"/>
          <w:szCs w:val="28"/>
        </w:rPr>
        <w:t>；具备图像</w:t>
      </w:r>
      <w:r>
        <w:rPr>
          <w:rFonts w:asciiTheme="minorEastAsia" w:hAnsiTheme="minorEastAsia" w:eastAsiaTheme="minorEastAsia"/>
          <w:sz w:val="28"/>
          <w:szCs w:val="28"/>
        </w:rPr>
        <w:t>添加标尺、测量、标注、图像对比等功能</w:t>
      </w:r>
      <w:r>
        <w:rPr>
          <w:rFonts w:hint="eastAsia" w:asciiTheme="minorEastAsia" w:hAnsiTheme="minorEastAsia" w:eastAsiaTheme="minorEastAsia"/>
          <w:sz w:val="28"/>
          <w:szCs w:val="28"/>
        </w:rPr>
        <w:t>；</w:t>
      </w:r>
      <w:r>
        <w:rPr>
          <w:rFonts w:asciiTheme="minorEastAsia" w:hAnsiTheme="minorEastAsia" w:eastAsiaTheme="minorEastAsia"/>
          <w:sz w:val="28"/>
          <w:szCs w:val="28"/>
        </w:rPr>
        <w:t>图像可通过 WiFi 分享至各网络媒体或 WiFi 传输至 U 盘</w:t>
      </w:r>
      <w:r>
        <w:rPr>
          <w:rFonts w:hint="eastAsia" w:asciiTheme="minorEastAsia" w:hAnsiTheme="minorEastAsia" w:eastAsiaTheme="minorEastAsia"/>
          <w:sz w:val="28"/>
          <w:szCs w:val="28"/>
        </w:rPr>
        <w:t>；</w:t>
      </w:r>
      <w:r>
        <w:rPr>
          <w:rFonts w:asciiTheme="minorEastAsia" w:hAnsiTheme="minorEastAsia" w:eastAsiaTheme="minorEastAsia"/>
          <w:sz w:val="28"/>
          <w:szCs w:val="28"/>
        </w:rPr>
        <w:t>预览界面可通过投影仪或高清 TV 分享</w:t>
      </w:r>
      <w:r>
        <w:rPr>
          <w:rFonts w:hint="eastAsia" w:asciiTheme="minorEastAsia" w:hAnsiTheme="minorEastAsia" w:eastAsiaTheme="minorEastAsia"/>
          <w:sz w:val="28"/>
          <w:szCs w:val="28"/>
        </w:rPr>
        <w:t>；</w:t>
      </w:r>
    </w:p>
    <w:p>
      <w:pPr>
        <w:tabs>
          <w:tab w:val="left" w:pos="400"/>
        </w:tabs>
        <w:spacing w:line="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★14.可升级PlasDIC功能；</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79" w:leftChars="36"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整个项目（包含所有分项设备）免费质保期壹年，终身维修，自验收合格之日起算，并提供相关承诺书。质保期内发生任何设备损坏，所需要的维修费用（包括零部件费用、维修费用）均由卖方承担（人为操作不当造成的损坏除外）。</w:t>
      </w:r>
    </w:p>
    <w:p>
      <w:pPr>
        <w:pStyle w:val="15"/>
        <w:spacing w:line="0" w:lineRule="atLeast"/>
        <w:ind w:left="79" w:leftChars="36"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79" w:leftChars="36"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319" w:leftChars="145"/>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319" w:leftChars="145"/>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280" w:firstLineChars="1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280" w:firstLineChars="1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280" w:firstLineChars="1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140" w:firstLineChars="5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w:t>
      </w:r>
      <w:r>
        <w:rPr>
          <w:rFonts w:hint="eastAsia" w:cs="宋体" w:asciiTheme="minorEastAsia" w:hAnsiTheme="minorEastAsia" w:eastAsiaTheme="minorEastAsia"/>
          <w:color w:val="000000"/>
          <w:sz w:val="28"/>
          <w:szCs w:val="28"/>
          <w:lang w:eastAsia="zh-CN"/>
        </w:rPr>
        <w:t>开始</w:t>
      </w:r>
      <w:r>
        <w:rPr>
          <w:rFonts w:hint="eastAsia" w:cs="宋体" w:asciiTheme="minorEastAsia" w:hAnsiTheme="minorEastAsia" w:eastAsiaTheme="minorEastAsia"/>
          <w:color w:val="000000"/>
          <w:sz w:val="28"/>
          <w:szCs w:val="28"/>
        </w:rPr>
        <w:t>前三个月内</w:t>
      </w:r>
      <w:r>
        <w:rPr>
          <w:rFonts w:hint="eastAsia" w:cs="宋体" w:asciiTheme="minorEastAsia" w:hAnsiTheme="minorEastAsia" w:eastAsiaTheme="minorEastAsia"/>
          <w:color w:val="000000"/>
          <w:sz w:val="28"/>
          <w:szCs w:val="28"/>
          <w:lang w:eastAsia="zh-CN"/>
        </w:rPr>
        <w:t>，若</w:t>
      </w:r>
      <w:r>
        <w:rPr>
          <w:rFonts w:hint="eastAsia" w:cs="宋体" w:asciiTheme="minorEastAsia" w:hAnsiTheme="minorEastAsia" w:eastAsiaTheme="minorEastAsia"/>
          <w:color w:val="000000"/>
          <w:sz w:val="28"/>
          <w:szCs w:val="28"/>
        </w:rPr>
        <w:t>发生产品损坏和性能不合格（非使用不当原因造成），除采购人同意修理者外，亦应退换新品。</w:t>
      </w:r>
      <w:bookmarkStart w:id="181" w:name="_GoBack"/>
      <w:bookmarkEnd w:id="181"/>
    </w:p>
    <w:p>
      <w:pPr>
        <w:spacing w:line="360" w:lineRule="auto"/>
        <w:rPr>
          <w:rFonts w:asciiTheme="minorEastAsia" w:hAnsiTheme="minorEastAsia" w:eastAsiaTheme="minorEastAsia"/>
          <w:b/>
          <w:bCs/>
          <w:sz w:val="28"/>
          <w:szCs w:val="28"/>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spacing w:line="360" w:lineRule="auto"/>
        <w:ind w:firstLine="560" w:firstLineChars="20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bookmarkStart w:id="167" w:name="_Toc523931348"/>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7"/>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r>
              <w:rPr>
                <w:rFonts w:hint="eastAsia" w:cs="Arial" w:asciiTheme="minorEastAsia" w:hAnsiTheme="minorEastAsia" w:eastAsiaTheme="minorEastAsia"/>
                <w:bCs/>
                <w:sz w:val="23"/>
                <w:szCs w:val="23"/>
              </w:rPr>
              <w:t>（保留到小数点后面两位数）</w:t>
            </w:r>
          </w:p>
        </w:tc>
        <w:tc>
          <w:tcPr>
            <w:tcW w:w="798" w:type="dxa"/>
            <w:vAlign w:val="center"/>
          </w:tcPr>
          <w:p>
            <w:pPr>
              <w:spacing w:line="360" w:lineRule="auto"/>
              <w:jc w:val="center"/>
              <w:rPr>
                <w:rFonts w:ascii="Arial" w:hAnsi="Arial" w:cs="Arial"/>
                <w:bCs/>
                <w:sz w:val="23"/>
                <w:szCs w:val="23"/>
              </w:rPr>
            </w:pPr>
            <w:r>
              <w:rPr>
                <w:rFonts w:ascii="Arial" w:hAnsi="Arial" w:cs="Arial"/>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40</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根据各投标产品的先进性、匹配性、可靠性、稳定性以及质量、性能酌情打分，较好4-5分，一般</w:t>
            </w:r>
            <w:r>
              <w:rPr>
                <w:rFonts w:cs="宋体" w:asciiTheme="minorEastAsia" w:hAnsiTheme="minorEastAsia" w:eastAsiaTheme="minorEastAsia"/>
                <w:bCs/>
                <w:sz w:val="23"/>
                <w:szCs w:val="23"/>
              </w:rPr>
              <w:t>2-3</w:t>
            </w:r>
            <w:r>
              <w:rPr>
                <w:rFonts w:hint="eastAsia" w:cs="宋体" w:asciiTheme="minorEastAsia" w:hAnsiTheme="minorEastAsia" w:eastAsiaTheme="minorEastAsia"/>
                <w:bCs/>
                <w:sz w:val="23"/>
                <w:szCs w:val="23"/>
              </w:rPr>
              <w:t>分，其他0-1分。</w:t>
            </w:r>
          </w:p>
        </w:tc>
        <w:tc>
          <w:tcPr>
            <w:tcW w:w="798" w:type="dxa"/>
            <w:vAlign w:val="center"/>
          </w:tcPr>
          <w:p>
            <w:pPr>
              <w:spacing w:line="360" w:lineRule="auto"/>
              <w:ind w:firstLine="115" w:firstLineChars="50"/>
              <w:rPr>
                <w:rFonts w:ascii="Arial" w:hAnsi="Arial" w:cs="Arial"/>
                <w:bCs/>
                <w:sz w:val="23"/>
                <w:szCs w:val="23"/>
              </w:rPr>
            </w:pPr>
            <w:r>
              <w:rPr>
                <w:rFonts w:hint="eastAsia" w:ascii="Arial" w:hAnsi="Arial"/>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1、满足招标文件技术指标、参数要求的得32分（" ★"项的为主要指标，不满足的每项减8分；其他每有一项偏离减4分；负偏离超过3项的不得分.</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 xml:space="preserve">2、每有一项优于招标文件，经评委会认可的加1分，最多加3分。）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restart"/>
            <w:vAlign w:val="center"/>
          </w:tcPr>
          <w:p>
            <w:pPr>
              <w:jc w:val="center"/>
              <w:rPr>
                <w:rFonts w:ascii="Arial" w:hAnsi="Arial" w:cs="Arial"/>
                <w:bCs/>
                <w:sz w:val="23"/>
                <w:szCs w:val="23"/>
              </w:rPr>
            </w:pPr>
            <w:r>
              <w:rPr>
                <w:rFonts w:hint="eastAsia" w:ascii="宋体" w:hAnsi="宋体" w:eastAsia="宋体" w:cs="宋体"/>
                <w:bCs/>
                <w:sz w:val="21"/>
                <w:szCs w:val="21"/>
              </w:rPr>
              <w:t>3.2</w:t>
            </w:r>
          </w:p>
        </w:tc>
        <w:tc>
          <w:tcPr>
            <w:tcW w:w="1984" w:type="dxa"/>
            <w:vMerge w:val="restart"/>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服务</w:t>
            </w:r>
          </w:p>
          <w:p>
            <w:pPr>
              <w:adjustRightInd/>
              <w:snapToGrid/>
              <w:spacing w:after="0"/>
              <w:jc w:val="center"/>
              <w:rPr>
                <w:rFonts w:ascii="Arial" w:hAnsi="Arial" w:cs="Arial"/>
                <w:bCs/>
                <w:sz w:val="23"/>
                <w:szCs w:val="23"/>
              </w:rPr>
            </w:pPr>
            <w:r>
              <w:rPr>
                <w:rFonts w:hint="eastAsia" w:ascii="宋体" w:hAnsi="宋体" w:eastAsia="宋体" w:cs="宋体"/>
                <w:bCs/>
                <w:sz w:val="21"/>
                <w:szCs w:val="21"/>
              </w:rPr>
              <w:t>（15分）</w:t>
            </w: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售后服务方案：售后服务体系、售后服务承诺、售后服务应答及处理时间，质保期内的售后服务范围、质保期满后的售后服务范围和收费情况、备品备件的承诺。</w:t>
            </w:r>
          </w:p>
          <w:p>
            <w:pPr>
              <w:spacing w:line="440" w:lineRule="exact"/>
              <w:rPr>
                <w:rFonts w:ascii="宋体" w:hAnsi="宋体" w:eastAsia="宋体" w:cs="宋体"/>
                <w:bCs/>
                <w:sz w:val="21"/>
                <w:szCs w:val="21"/>
              </w:rPr>
            </w:pPr>
            <w:r>
              <w:rPr>
                <w:rFonts w:hint="eastAsia" w:ascii="宋体" w:hAnsi="宋体" w:eastAsia="宋体" w:cs="宋体"/>
                <w:bCs/>
                <w:sz w:val="21"/>
                <w:szCs w:val="21"/>
              </w:rPr>
              <w:t>方案完整、合理可行的得8-10分；</w:t>
            </w:r>
          </w:p>
          <w:p>
            <w:pPr>
              <w:spacing w:line="440" w:lineRule="exact"/>
              <w:rPr>
                <w:rFonts w:ascii="宋体" w:hAnsi="宋体" w:eastAsia="宋体" w:cs="宋体"/>
                <w:bCs/>
                <w:sz w:val="21"/>
                <w:szCs w:val="21"/>
              </w:rPr>
            </w:pPr>
            <w:r>
              <w:rPr>
                <w:rFonts w:hint="eastAsia" w:ascii="宋体" w:hAnsi="宋体" w:eastAsia="宋体" w:cs="宋体"/>
                <w:bCs/>
                <w:sz w:val="21"/>
                <w:szCs w:val="21"/>
              </w:rPr>
              <w:t>方案较完整、较合理可行的得5-7分；</w:t>
            </w:r>
          </w:p>
          <w:p>
            <w:pPr>
              <w:spacing w:line="440" w:lineRule="exact"/>
              <w:rPr>
                <w:rFonts w:cs="Arial" w:asciiTheme="minorEastAsia" w:hAnsiTheme="minorEastAsia" w:eastAsiaTheme="minorEastAsia"/>
                <w:bCs/>
                <w:sz w:val="23"/>
                <w:szCs w:val="23"/>
              </w:rPr>
            </w:pPr>
            <w:r>
              <w:rPr>
                <w:rFonts w:hint="eastAsia" w:ascii="宋体" w:hAnsi="宋体" w:eastAsia="宋体" w:cs="宋体"/>
                <w:bCs/>
                <w:sz w:val="21"/>
                <w:szCs w:val="21"/>
              </w:rPr>
              <w:t>方案不完整、不合理不可行的得0-4分</w:t>
            </w:r>
          </w:p>
        </w:tc>
        <w:tc>
          <w:tcPr>
            <w:tcW w:w="798" w:type="dxa"/>
            <w:vAlign w:val="center"/>
          </w:tcPr>
          <w:p>
            <w:pPr>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jc w:val="center"/>
              <w:rPr>
                <w:rFonts w:ascii="宋体" w:hAnsi="宋体" w:eastAsia="宋体" w:cs="宋体"/>
                <w:bCs/>
                <w:sz w:val="21"/>
                <w:szCs w:val="21"/>
              </w:rPr>
            </w:pPr>
          </w:p>
        </w:tc>
        <w:tc>
          <w:tcPr>
            <w:tcW w:w="1984" w:type="dxa"/>
            <w:vMerge w:val="continue"/>
            <w:vAlign w:val="center"/>
          </w:tcPr>
          <w:p>
            <w:pPr>
              <w:adjustRightInd/>
              <w:snapToGrid/>
              <w:spacing w:after="0"/>
              <w:rPr>
                <w:rFonts w:ascii="Arial" w:hAnsi="Arial" w:cs="Arial"/>
                <w:bCs/>
                <w:sz w:val="23"/>
                <w:szCs w:val="23"/>
              </w:rPr>
            </w:pP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培训：对买方操作、维护人员的培训方案及计划。</w:t>
            </w:r>
          </w:p>
        </w:tc>
        <w:tc>
          <w:tcPr>
            <w:tcW w:w="798"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jc w:val="center"/>
              <w:rPr>
                <w:rFonts w:ascii="宋体" w:hAnsi="宋体" w:eastAsia="宋体" w:cs="宋体"/>
                <w:bCs/>
                <w:sz w:val="21"/>
                <w:szCs w:val="21"/>
              </w:rPr>
            </w:pPr>
          </w:p>
        </w:tc>
        <w:tc>
          <w:tcPr>
            <w:tcW w:w="1984" w:type="dxa"/>
            <w:vMerge w:val="continue"/>
            <w:vAlign w:val="center"/>
          </w:tcPr>
          <w:p>
            <w:pPr>
              <w:adjustRightInd/>
              <w:snapToGrid/>
              <w:spacing w:after="0"/>
              <w:rPr>
                <w:rFonts w:ascii="Arial" w:hAnsi="Arial" w:cs="Arial"/>
                <w:bCs/>
                <w:sz w:val="23"/>
                <w:szCs w:val="23"/>
              </w:rPr>
            </w:pP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免费质保期1年不得分，每多一年得</w:t>
            </w:r>
            <w:r>
              <w:rPr>
                <w:rFonts w:hint="eastAsia" w:ascii="宋体" w:hAnsi="宋体" w:eastAsia="宋体" w:cs="宋体"/>
                <w:bCs/>
                <w:sz w:val="21"/>
                <w:szCs w:val="21"/>
                <w:lang w:val="en-US" w:eastAsia="zh-CN"/>
              </w:rPr>
              <w:t>1</w:t>
            </w:r>
            <w:r>
              <w:rPr>
                <w:rFonts w:hint="eastAsia" w:ascii="宋体" w:hAnsi="宋体" w:eastAsia="宋体" w:cs="宋体"/>
                <w:bCs/>
                <w:sz w:val="21"/>
                <w:szCs w:val="21"/>
              </w:rPr>
              <w:t>分，最高不超过3分。</w:t>
            </w:r>
          </w:p>
        </w:tc>
        <w:tc>
          <w:tcPr>
            <w:tcW w:w="798"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10</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投标人2016年01月01日以来的类似项目业绩，每提供一个得2分，最高得10分。 （请提供有效的加盖公章的合同复印件，原件备查）</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bl>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rPr>
      </w:pPr>
    </w:p>
    <w:bookmarkEnd w:id="166"/>
    <w:p>
      <w:pPr>
        <w:pStyle w:val="2"/>
        <w:pageBreakBefore/>
        <w:rPr>
          <w:rFonts w:ascii="宋体" w:hAnsi="宋体" w:eastAsia="宋体"/>
          <w:b/>
          <w:bCs/>
          <w:sz w:val="44"/>
        </w:rPr>
      </w:pPr>
      <w:bookmarkStart w:id="168" w:name="_Toc523931349"/>
      <w:r>
        <w:rPr>
          <w:rFonts w:hint="eastAsia" w:ascii="宋体" w:hAnsi="宋体" w:eastAsia="宋体"/>
          <w:b/>
          <w:bCs/>
          <w:sz w:val="44"/>
        </w:rPr>
        <w:t>第五章  投标文件格式</w:t>
      </w:r>
      <w:bookmarkEnd w:id="168"/>
    </w:p>
    <w:p>
      <w:pPr>
        <w:jc w:val="center"/>
        <w:rPr>
          <w:rFonts w:ascii="宋体" w:hAnsi="宋体"/>
          <w:b/>
          <w:sz w:val="72"/>
        </w:rPr>
      </w:pPr>
      <w:bookmarkStart w:id="169" w:name="_Hlt26955039"/>
      <w:bookmarkEnd w:id="169"/>
      <w:bookmarkStart w:id="170" w:name="_Hlt26671244"/>
      <w:bookmarkEnd w:id="170"/>
      <w:bookmarkStart w:id="171" w:name="_Toc26554094"/>
      <w:bookmarkStart w:id="172" w:name="_Toc120614282"/>
      <w:bookmarkStart w:id="173"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4" w:name="_Toc517190894"/>
      <w:r>
        <w:rPr>
          <w:rFonts w:hint="eastAsia"/>
          <w:b/>
          <w:sz w:val="32"/>
        </w:rPr>
        <w:t>投标函格式</w:t>
      </w:r>
      <w:bookmarkEnd w:id="174"/>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5" w:name="_Toc517190895"/>
      <w:r>
        <w:rPr>
          <w:rFonts w:hint="eastAsia"/>
          <w:b/>
          <w:sz w:val="32"/>
        </w:rPr>
        <w:t>法人授权书</w:t>
      </w:r>
      <w:bookmarkEnd w:id="175"/>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Hlt26955070"/>
      <w:bookmarkEnd w:id="176"/>
      <w:bookmarkStart w:id="177" w:name="_Hlt26671380"/>
      <w:bookmarkEnd w:id="177"/>
      <w:bookmarkStart w:id="178" w:name="_格式3__银行出具的资信证明"/>
      <w:bookmarkEnd w:id="178"/>
    </w:p>
    <w:p>
      <w:pPr>
        <w:pStyle w:val="3"/>
        <w:rPr>
          <w:rFonts w:asciiTheme="minorEastAsia" w:hAnsiTheme="minorEastAsia" w:eastAsiaTheme="minorEastAsia"/>
          <w:sz w:val="36"/>
        </w:rPr>
      </w:pPr>
    </w:p>
    <w:p>
      <w:pPr>
        <w:pStyle w:val="27"/>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0"/>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r>
        <w:rPr>
          <w:rFonts w:hint="eastAsia" w:asciiTheme="minorEastAsia" w:hAnsiTheme="minorEastAsia" w:eastAsiaTheme="minorEastAsia"/>
          <w:b/>
          <w:sz w:val="24"/>
          <w:szCs w:val="28"/>
        </w:rPr>
        <w:t>【</w:t>
      </w:r>
      <w:r>
        <w:rPr>
          <w:rFonts w:hint="eastAsia" w:asciiTheme="minorEastAsia" w:hAnsiTheme="minorEastAsia" w:eastAsiaTheme="minorEastAsia"/>
          <w:sz w:val="24"/>
          <w:szCs w:val="28"/>
        </w:rPr>
        <w:t>中标价20万(含)以下</w:t>
      </w:r>
      <w:r>
        <w:rPr>
          <w:rFonts w:hint="eastAsia" w:asciiTheme="minorEastAsia" w:hAnsiTheme="minorEastAsia" w:eastAsiaTheme="minorEastAsia"/>
          <w:b/>
          <w:sz w:val="24"/>
          <w:szCs w:val="28"/>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4"/>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22A4"/>
    <w:rsid w:val="00014B69"/>
    <w:rsid w:val="000154FB"/>
    <w:rsid w:val="000171C3"/>
    <w:rsid w:val="00026CA5"/>
    <w:rsid w:val="00034A2B"/>
    <w:rsid w:val="00045531"/>
    <w:rsid w:val="000458DB"/>
    <w:rsid w:val="00046D67"/>
    <w:rsid w:val="000508AB"/>
    <w:rsid w:val="00050D10"/>
    <w:rsid w:val="00053D2D"/>
    <w:rsid w:val="00053D8C"/>
    <w:rsid w:val="0005451A"/>
    <w:rsid w:val="00062EBC"/>
    <w:rsid w:val="00063E5E"/>
    <w:rsid w:val="00070968"/>
    <w:rsid w:val="00075408"/>
    <w:rsid w:val="000837AA"/>
    <w:rsid w:val="0008466D"/>
    <w:rsid w:val="00086A59"/>
    <w:rsid w:val="00090C36"/>
    <w:rsid w:val="00090C62"/>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11524"/>
    <w:rsid w:val="0012092A"/>
    <w:rsid w:val="001225B3"/>
    <w:rsid w:val="00124A3C"/>
    <w:rsid w:val="00125C10"/>
    <w:rsid w:val="00130370"/>
    <w:rsid w:val="00137666"/>
    <w:rsid w:val="00141840"/>
    <w:rsid w:val="001424D3"/>
    <w:rsid w:val="0016026B"/>
    <w:rsid w:val="00160A9B"/>
    <w:rsid w:val="001647DF"/>
    <w:rsid w:val="00165E37"/>
    <w:rsid w:val="00166953"/>
    <w:rsid w:val="001674B0"/>
    <w:rsid w:val="00167738"/>
    <w:rsid w:val="00170D4A"/>
    <w:rsid w:val="0018443B"/>
    <w:rsid w:val="00193521"/>
    <w:rsid w:val="00194D77"/>
    <w:rsid w:val="001A049C"/>
    <w:rsid w:val="001A76E7"/>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1F6C92"/>
    <w:rsid w:val="0020432E"/>
    <w:rsid w:val="00206503"/>
    <w:rsid w:val="002070F5"/>
    <w:rsid w:val="00232127"/>
    <w:rsid w:val="002327D4"/>
    <w:rsid w:val="002415CF"/>
    <w:rsid w:val="00244DA0"/>
    <w:rsid w:val="002453B7"/>
    <w:rsid w:val="0025535E"/>
    <w:rsid w:val="00257C1E"/>
    <w:rsid w:val="00266C11"/>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0774"/>
    <w:rsid w:val="00341D73"/>
    <w:rsid w:val="00343344"/>
    <w:rsid w:val="00344696"/>
    <w:rsid w:val="003525A5"/>
    <w:rsid w:val="003538BE"/>
    <w:rsid w:val="00363CE9"/>
    <w:rsid w:val="0036460C"/>
    <w:rsid w:val="00365285"/>
    <w:rsid w:val="0037490B"/>
    <w:rsid w:val="0038270D"/>
    <w:rsid w:val="00391340"/>
    <w:rsid w:val="00397BA9"/>
    <w:rsid w:val="003B1427"/>
    <w:rsid w:val="003B2DF7"/>
    <w:rsid w:val="003B3CF8"/>
    <w:rsid w:val="003C4103"/>
    <w:rsid w:val="003C7177"/>
    <w:rsid w:val="003D2715"/>
    <w:rsid w:val="003D37D8"/>
    <w:rsid w:val="003E2D0A"/>
    <w:rsid w:val="003E2F0D"/>
    <w:rsid w:val="003F3546"/>
    <w:rsid w:val="003F6A3E"/>
    <w:rsid w:val="003F6DAB"/>
    <w:rsid w:val="003F7BE0"/>
    <w:rsid w:val="003F7CC8"/>
    <w:rsid w:val="00404C89"/>
    <w:rsid w:val="00411C53"/>
    <w:rsid w:val="00412566"/>
    <w:rsid w:val="00413A13"/>
    <w:rsid w:val="00414074"/>
    <w:rsid w:val="00421D40"/>
    <w:rsid w:val="00426133"/>
    <w:rsid w:val="00431F8A"/>
    <w:rsid w:val="00433AC1"/>
    <w:rsid w:val="004358AB"/>
    <w:rsid w:val="0043654C"/>
    <w:rsid w:val="004416FF"/>
    <w:rsid w:val="00442EE3"/>
    <w:rsid w:val="00443D5F"/>
    <w:rsid w:val="00443E49"/>
    <w:rsid w:val="004459E6"/>
    <w:rsid w:val="00446B9B"/>
    <w:rsid w:val="0044705E"/>
    <w:rsid w:val="00451E2F"/>
    <w:rsid w:val="00457AD9"/>
    <w:rsid w:val="00477C2E"/>
    <w:rsid w:val="004808C6"/>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41E69"/>
    <w:rsid w:val="00544D7E"/>
    <w:rsid w:val="0054541E"/>
    <w:rsid w:val="00557F99"/>
    <w:rsid w:val="005657AD"/>
    <w:rsid w:val="0057236C"/>
    <w:rsid w:val="0057580C"/>
    <w:rsid w:val="00575FC2"/>
    <w:rsid w:val="0058115B"/>
    <w:rsid w:val="00582807"/>
    <w:rsid w:val="00582977"/>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411FE"/>
    <w:rsid w:val="006600C0"/>
    <w:rsid w:val="00663D89"/>
    <w:rsid w:val="00667558"/>
    <w:rsid w:val="00681F07"/>
    <w:rsid w:val="00691BD5"/>
    <w:rsid w:val="00695BF8"/>
    <w:rsid w:val="006977C3"/>
    <w:rsid w:val="006A096A"/>
    <w:rsid w:val="006B0EB6"/>
    <w:rsid w:val="006B4013"/>
    <w:rsid w:val="006B6C40"/>
    <w:rsid w:val="006C6B1D"/>
    <w:rsid w:val="006D1B0D"/>
    <w:rsid w:val="006D2726"/>
    <w:rsid w:val="006E1848"/>
    <w:rsid w:val="006E482E"/>
    <w:rsid w:val="006E7A99"/>
    <w:rsid w:val="006F283A"/>
    <w:rsid w:val="00705F93"/>
    <w:rsid w:val="00710E53"/>
    <w:rsid w:val="0071106B"/>
    <w:rsid w:val="00711F9D"/>
    <w:rsid w:val="007178CD"/>
    <w:rsid w:val="00722B49"/>
    <w:rsid w:val="00723E54"/>
    <w:rsid w:val="00725153"/>
    <w:rsid w:val="007253FF"/>
    <w:rsid w:val="00726D9C"/>
    <w:rsid w:val="00731E48"/>
    <w:rsid w:val="007327F0"/>
    <w:rsid w:val="00732820"/>
    <w:rsid w:val="0074740B"/>
    <w:rsid w:val="00747556"/>
    <w:rsid w:val="007543D9"/>
    <w:rsid w:val="00754FBF"/>
    <w:rsid w:val="00755373"/>
    <w:rsid w:val="00770628"/>
    <w:rsid w:val="007730F5"/>
    <w:rsid w:val="00783B4C"/>
    <w:rsid w:val="00791FC9"/>
    <w:rsid w:val="00792482"/>
    <w:rsid w:val="0079316D"/>
    <w:rsid w:val="007947E9"/>
    <w:rsid w:val="007A58F8"/>
    <w:rsid w:val="007B3D32"/>
    <w:rsid w:val="007C2D47"/>
    <w:rsid w:val="007E0F09"/>
    <w:rsid w:val="007E2F52"/>
    <w:rsid w:val="007E466E"/>
    <w:rsid w:val="007E5C50"/>
    <w:rsid w:val="007E62FC"/>
    <w:rsid w:val="007E7839"/>
    <w:rsid w:val="007F1718"/>
    <w:rsid w:val="007F18E6"/>
    <w:rsid w:val="007F226B"/>
    <w:rsid w:val="007F41F0"/>
    <w:rsid w:val="00801146"/>
    <w:rsid w:val="00814865"/>
    <w:rsid w:val="008266D1"/>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A19CF"/>
    <w:rsid w:val="008A2C91"/>
    <w:rsid w:val="008B0B7A"/>
    <w:rsid w:val="008B154E"/>
    <w:rsid w:val="008B7726"/>
    <w:rsid w:val="008C3FAA"/>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E707D"/>
    <w:rsid w:val="009F148D"/>
    <w:rsid w:val="009F2B90"/>
    <w:rsid w:val="009F453D"/>
    <w:rsid w:val="00A02CA7"/>
    <w:rsid w:val="00A0465D"/>
    <w:rsid w:val="00A118C2"/>
    <w:rsid w:val="00A157F0"/>
    <w:rsid w:val="00A205F4"/>
    <w:rsid w:val="00A25E57"/>
    <w:rsid w:val="00A4464F"/>
    <w:rsid w:val="00A46E8D"/>
    <w:rsid w:val="00A478D2"/>
    <w:rsid w:val="00A536D3"/>
    <w:rsid w:val="00A63CCE"/>
    <w:rsid w:val="00A64A8A"/>
    <w:rsid w:val="00A67624"/>
    <w:rsid w:val="00A719C8"/>
    <w:rsid w:val="00A754E0"/>
    <w:rsid w:val="00A818BE"/>
    <w:rsid w:val="00A84971"/>
    <w:rsid w:val="00A960CD"/>
    <w:rsid w:val="00AA10B3"/>
    <w:rsid w:val="00AA278C"/>
    <w:rsid w:val="00AB3CFF"/>
    <w:rsid w:val="00AC2325"/>
    <w:rsid w:val="00AC3CE4"/>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3218"/>
    <w:rsid w:val="00B9381E"/>
    <w:rsid w:val="00B93B01"/>
    <w:rsid w:val="00B9568F"/>
    <w:rsid w:val="00B97749"/>
    <w:rsid w:val="00B97E23"/>
    <w:rsid w:val="00BA4580"/>
    <w:rsid w:val="00BA78DC"/>
    <w:rsid w:val="00BB2734"/>
    <w:rsid w:val="00BB3582"/>
    <w:rsid w:val="00BB38D0"/>
    <w:rsid w:val="00BB7A3D"/>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70CA"/>
    <w:rsid w:val="00C40E65"/>
    <w:rsid w:val="00C43A01"/>
    <w:rsid w:val="00C44CED"/>
    <w:rsid w:val="00C541CB"/>
    <w:rsid w:val="00C55166"/>
    <w:rsid w:val="00C714F0"/>
    <w:rsid w:val="00C76558"/>
    <w:rsid w:val="00C86FD4"/>
    <w:rsid w:val="00C96654"/>
    <w:rsid w:val="00CB2130"/>
    <w:rsid w:val="00CB3C11"/>
    <w:rsid w:val="00CB511C"/>
    <w:rsid w:val="00CD16E9"/>
    <w:rsid w:val="00CD4D83"/>
    <w:rsid w:val="00CE18E8"/>
    <w:rsid w:val="00D00CAA"/>
    <w:rsid w:val="00D00D6F"/>
    <w:rsid w:val="00D126C6"/>
    <w:rsid w:val="00D1587C"/>
    <w:rsid w:val="00D259B3"/>
    <w:rsid w:val="00D25F42"/>
    <w:rsid w:val="00D278D7"/>
    <w:rsid w:val="00D279B0"/>
    <w:rsid w:val="00D31D50"/>
    <w:rsid w:val="00D323F9"/>
    <w:rsid w:val="00D4211D"/>
    <w:rsid w:val="00D44B37"/>
    <w:rsid w:val="00D4693D"/>
    <w:rsid w:val="00D5054E"/>
    <w:rsid w:val="00D53633"/>
    <w:rsid w:val="00D56CB6"/>
    <w:rsid w:val="00D61AE7"/>
    <w:rsid w:val="00D634CC"/>
    <w:rsid w:val="00D77EC9"/>
    <w:rsid w:val="00D81D23"/>
    <w:rsid w:val="00D87330"/>
    <w:rsid w:val="00D9005C"/>
    <w:rsid w:val="00DA1746"/>
    <w:rsid w:val="00DA3EA3"/>
    <w:rsid w:val="00DA4334"/>
    <w:rsid w:val="00DA76FE"/>
    <w:rsid w:val="00DB1721"/>
    <w:rsid w:val="00DB3826"/>
    <w:rsid w:val="00DB5FD8"/>
    <w:rsid w:val="00DC26C4"/>
    <w:rsid w:val="00DD5681"/>
    <w:rsid w:val="00DD6316"/>
    <w:rsid w:val="00DE05FA"/>
    <w:rsid w:val="00DE421A"/>
    <w:rsid w:val="00DE5B7E"/>
    <w:rsid w:val="00DF12D7"/>
    <w:rsid w:val="00DF16E1"/>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5074"/>
    <w:rsid w:val="00E81B75"/>
    <w:rsid w:val="00E8447A"/>
    <w:rsid w:val="00E85DDD"/>
    <w:rsid w:val="00E95E13"/>
    <w:rsid w:val="00EA5C99"/>
    <w:rsid w:val="00EA62FB"/>
    <w:rsid w:val="00EA6CDE"/>
    <w:rsid w:val="00EB0C34"/>
    <w:rsid w:val="00EB187E"/>
    <w:rsid w:val="00EC287F"/>
    <w:rsid w:val="00EC3C23"/>
    <w:rsid w:val="00ED0853"/>
    <w:rsid w:val="00ED0F18"/>
    <w:rsid w:val="00ED7E7C"/>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608D"/>
    <w:rsid w:val="00FC0456"/>
    <w:rsid w:val="00FC3104"/>
    <w:rsid w:val="00FF3FAD"/>
    <w:rsid w:val="00FF44F0"/>
    <w:rsid w:val="00FF7A26"/>
    <w:rsid w:val="014C1FAD"/>
    <w:rsid w:val="018C0B8D"/>
    <w:rsid w:val="08284001"/>
    <w:rsid w:val="09E00F8C"/>
    <w:rsid w:val="0ADA47CA"/>
    <w:rsid w:val="0D7C3718"/>
    <w:rsid w:val="0F752313"/>
    <w:rsid w:val="0FBE7322"/>
    <w:rsid w:val="0FD1242C"/>
    <w:rsid w:val="10B26CB4"/>
    <w:rsid w:val="145816CD"/>
    <w:rsid w:val="14CF6F43"/>
    <w:rsid w:val="14F817DB"/>
    <w:rsid w:val="151B0E99"/>
    <w:rsid w:val="18A80505"/>
    <w:rsid w:val="18DE5A24"/>
    <w:rsid w:val="1B0767C7"/>
    <w:rsid w:val="1BD874CB"/>
    <w:rsid w:val="1C2657EA"/>
    <w:rsid w:val="1C534421"/>
    <w:rsid w:val="1DE36E39"/>
    <w:rsid w:val="2028292B"/>
    <w:rsid w:val="21A863BD"/>
    <w:rsid w:val="224B6541"/>
    <w:rsid w:val="22D94F0A"/>
    <w:rsid w:val="23711F72"/>
    <w:rsid w:val="24911BB8"/>
    <w:rsid w:val="25086568"/>
    <w:rsid w:val="29021183"/>
    <w:rsid w:val="29985913"/>
    <w:rsid w:val="2AB10F4B"/>
    <w:rsid w:val="2D82734B"/>
    <w:rsid w:val="2DA207F9"/>
    <w:rsid w:val="303B1173"/>
    <w:rsid w:val="30CA663E"/>
    <w:rsid w:val="311B0FC8"/>
    <w:rsid w:val="34A91215"/>
    <w:rsid w:val="364C2779"/>
    <w:rsid w:val="368E5A53"/>
    <w:rsid w:val="37291A7B"/>
    <w:rsid w:val="37302267"/>
    <w:rsid w:val="3A6C60EB"/>
    <w:rsid w:val="3BFC2D93"/>
    <w:rsid w:val="3CAE3B50"/>
    <w:rsid w:val="3D0342E9"/>
    <w:rsid w:val="3D077115"/>
    <w:rsid w:val="3E6A131D"/>
    <w:rsid w:val="3F1C226C"/>
    <w:rsid w:val="40571BFD"/>
    <w:rsid w:val="440D1E8B"/>
    <w:rsid w:val="45BB0D03"/>
    <w:rsid w:val="45E71721"/>
    <w:rsid w:val="47322D1B"/>
    <w:rsid w:val="49605258"/>
    <w:rsid w:val="4ABD1A46"/>
    <w:rsid w:val="4DB926A4"/>
    <w:rsid w:val="4E7A146B"/>
    <w:rsid w:val="4FE9596A"/>
    <w:rsid w:val="52D36703"/>
    <w:rsid w:val="56747820"/>
    <w:rsid w:val="56AA4F2E"/>
    <w:rsid w:val="57AE2BB5"/>
    <w:rsid w:val="59521601"/>
    <w:rsid w:val="5AE621E7"/>
    <w:rsid w:val="5E714DDE"/>
    <w:rsid w:val="61DB5282"/>
    <w:rsid w:val="61F8565D"/>
    <w:rsid w:val="62CD3F75"/>
    <w:rsid w:val="64103D49"/>
    <w:rsid w:val="67B062B6"/>
    <w:rsid w:val="680B4B52"/>
    <w:rsid w:val="6A951211"/>
    <w:rsid w:val="6C2A57B1"/>
    <w:rsid w:val="70961EDC"/>
    <w:rsid w:val="71740794"/>
    <w:rsid w:val="71A01282"/>
    <w:rsid w:val="72C0140A"/>
    <w:rsid w:val="739C62E2"/>
    <w:rsid w:val="75D67914"/>
    <w:rsid w:val="77C80D59"/>
    <w:rsid w:val="7B281D3D"/>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FFF4F-2876-4C88-BCA6-3F632641088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36</Pages>
  <Words>2314</Words>
  <Characters>13195</Characters>
  <Lines>109</Lines>
  <Paragraphs>30</Paragraphs>
  <TotalTime>53</TotalTime>
  <ScaleCrop>false</ScaleCrop>
  <LinksUpToDate>false</LinksUpToDate>
  <CharactersWithSpaces>15479</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2019-03-15T01:45:00Z</dcterms:created>
  <dc:creator>chenle</dc:creator>
  <cp:lastModifiedBy>lenovo</cp:lastModifiedBy>
  <dcterms:modified xsi:type="dcterms:W3CDTF">2019-03-21T05:47:21Z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