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rFonts w:eastAsiaTheme="minorEastAsia"/>
          <w:b/>
          <w:bCs/>
          <w:sz w:val="32"/>
          <w:szCs w:val="32"/>
        </w:rPr>
      </w:pPr>
      <w:r>
        <w:rPr>
          <w:rFonts w:hint="eastAsia"/>
          <w:b/>
          <w:bCs/>
          <w:sz w:val="32"/>
        </w:rPr>
        <w:t>项目名称：</w:t>
      </w:r>
      <w:r>
        <w:rPr>
          <w:rFonts w:hint="eastAsia" w:asciiTheme="minorEastAsia" w:hAnsiTheme="minorEastAsia" w:eastAsiaTheme="minorEastAsia"/>
          <w:b/>
          <w:sz w:val="32"/>
          <w:szCs w:val="32"/>
        </w:rPr>
        <w:t>生物材料力学性能测试系统购置项目</w:t>
      </w:r>
    </w:p>
    <w:p>
      <w:pPr>
        <w:pStyle w:val="26"/>
        <w:ind w:firstLine="1606" w:firstLineChars="500"/>
        <w:rPr>
          <w:rFonts w:hint="default" w:eastAsia="宋体"/>
          <w:b/>
          <w:bCs/>
          <w:sz w:val="32"/>
          <w:lang w:val="en-US" w:eastAsia="zh-CN"/>
        </w:rPr>
      </w:pPr>
      <w:r>
        <w:rPr>
          <w:rFonts w:hint="eastAsia"/>
          <w:b/>
          <w:bCs/>
          <w:sz w:val="32"/>
        </w:rPr>
        <w:t>项目编号：</w:t>
      </w:r>
      <w:r>
        <w:rPr>
          <w:rFonts w:hint="eastAsia"/>
          <w:b/>
          <w:bCs/>
          <w:sz w:val="32"/>
          <w:highlight w:val="yellow"/>
        </w:rPr>
        <w:t>NJMUZB30120190</w:t>
      </w:r>
      <w:r>
        <w:rPr>
          <w:rFonts w:hint="eastAsia"/>
          <w:b/>
          <w:bCs/>
          <w:sz w:val="32"/>
          <w:highlight w:val="yellow"/>
          <w:lang w:val="en-US" w:eastAsia="zh-CN"/>
        </w:rPr>
        <w:t>51</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513029200"/>
      <w:bookmarkStart w:id="4" w:name="_Toc523127445"/>
      <w:bookmarkStart w:id="5" w:name="_Toc16938516"/>
      <w:bookmarkStart w:id="6" w:name="_Toc479757206"/>
      <w:r>
        <w:rPr>
          <w:rFonts w:hint="eastAsia" w:ascii="黑体" w:hAnsi="黑体" w:eastAsia="黑体"/>
          <w:b/>
          <w:sz w:val="44"/>
          <w:szCs w:val="28"/>
        </w:rPr>
        <w:t>目  录</w:t>
      </w:r>
      <w:bookmarkEnd w:id="0"/>
    </w:p>
    <w:p>
      <w:pPr>
        <w:pStyle w:val="13"/>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0"/>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0"/>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0"/>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0"/>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0"/>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0"/>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3"/>
        <w:tabs>
          <w:tab w:val="right" w:leader="dot" w:pos="8296"/>
        </w:tabs>
        <w:spacing w:line="360" w:lineRule="auto"/>
        <w:rPr>
          <w:sz w:val="24"/>
        </w:rPr>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513029242"/>
      <w:bookmarkStart w:id="9" w:name="_Toc120614211"/>
      <w:bookmarkStart w:id="10" w:name="OLE_LINK2"/>
      <w:bookmarkStart w:id="11" w:name="_Toc479757207"/>
      <w:bookmarkStart w:id="12" w:name="OLE_LINK1"/>
      <w:bookmarkStart w:id="13" w:name="_Toc444669970"/>
      <w:bookmarkStart w:id="14" w:name="_Toc20823314"/>
      <w:bookmarkStart w:id="15" w:name="_Toc16938558"/>
      <w:bookmarkStart w:id="16" w:name="_Toc120614221"/>
      <w:r>
        <w:rPr>
          <w:rFonts w:hint="eastAsia" w:asciiTheme="minorEastAsia" w:hAnsiTheme="minorEastAsia" w:eastAsiaTheme="minorEastAsia"/>
          <w:sz w:val="28"/>
          <w:szCs w:val="28"/>
        </w:rPr>
        <w:t>南京医科大学就</w:t>
      </w:r>
      <w:r>
        <w:rPr>
          <w:rFonts w:hint="eastAsia" w:asciiTheme="minorEastAsia" w:hAnsiTheme="minorEastAsia" w:eastAsiaTheme="minorEastAsia"/>
          <w:bCs/>
          <w:sz w:val="28"/>
          <w:szCs w:val="28"/>
          <w:u w:val="single"/>
        </w:rPr>
        <w:t>生物材料力学性能测试系统</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bCs/>
          <w:sz w:val="28"/>
          <w:szCs w:val="28"/>
        </w:rPr>
        <w:t>生物材料力学性能测试系统购置项目</w:t>
      </w:r>
    </w:p>
    <w:p>
      <w:pPr>
        <w:spacing w:beforeLines="50" w:afterLines="50" w:line="500" w:lineRule="exact"/>
        <w:ind w:firstLine="560" w:firstLineChars="200"/>
        <w:rPr>
          <w:rFonts w:hint="default" w:asciiTheme="minorEastAsia" w:hAnsiTheme="minorEastAsia" w:eastAsiaTheme="minorEastAsia"/>
          <w:sz w:val="28"/>
          <w:szCs w:val="28"/>
          <w:highlight w:val="yellow"/>
          <w:lang w:val="en-US"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NJMUZB30120190</w:t>
      </w:r>
      <w:r>
        <w:rPr>
          <w:rFonts w:hint="eastAsia" w:asciiTheme="minorEastAsia" w:hAnsiTheme="minorEastAsia" w:eastAsiaTheme="minorEastAsia"/>
          <w:sz w:val="28"/>
          <w:szCs w:val="28"/>
          <w:highlight w:val="none"/>
          <w:lang w:val="en-US" w:eastAsia="zh-CN"/>
        </w:rPr>
        <w:t>51</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￥19.8万元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after="0"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（三）如为进口设备，需提供免税报价。</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color w:val="FF0000"/>
          <w:sz w:val="28"/>
          <w:szCs w:val="28"/>
        </w:rPr>
        <w:t>（注：分别提供纸质材料并加盖公章，原件备查）</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2、2018年度的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投标文件接收开始时间：2019年7月30日上午8:30（北京时间）</w:t>
      </w:r>
    </w:p>
    <w:p>
      <w:pPr>
        <w:spacing w:line="5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投标文件接收截止时间：2019年7月30日上午9:15（北京时间）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开标时间：2019年7月30日上午9:15（北京时间）</w:t>
      </w:r>
      <w:bookmarkStart w:id="180" w:name="_GoBack"/>
      <w:bookmarkEnd w:id="180"/>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numPr>
          <w:ilvl w:val="0"/>
          <w:numId w:val="3"/>
        </w:numPr>
        <w:spacing w:beforeLines="50" w:afterLines="50" w:line="27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270" w:lineRule="exact"/>
        <w:ind w:firstLine="500" w:firstLineChars="200"/>
        <w:rPr>
          <w:rFonts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项目需求方联系人：余</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电话：18512523806</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6938518"/>
      <w:bookmarkStart w:id="19" w:name="_Toc20823274"/>
      <w:bookmarkStart w:id="20" w:name="_Toc513029202"/>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513029203"/>
      <w:bookmarkStart w:id="23" w:name="_Toc16938519"/>
      <w:bookmarkStart w:id="24" w:name="_Toc120614214"/>
      <w:bookmarkStart w:id="25" w:name="_Toc20823275"/>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20823276"/>
      <w:bookmarkStart w:id="29" w:name="_Toc513029204"/>
      <w:bookmarkStart w:id="30" w:name="_Toc16938520"/>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20823277"/>
      <w:bookmarkStart w:id="32" w:name="_Toc16938521"/>
      <w:bookmarkStart w:id="33" w:name="_Toc513029205"/>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517190883"/>
      <w:bookmarkStart w:id="42" w:name="_Toc513029209"/>
      <w:bookmarkStart w:id="43" w:name="_Toc16938525"/>
      <w:bookmarkStart w:id="44" w:name="_Toc120614215"/>
      <w:bookmarkStart w:id="45" w:name="_Toc20823281"/>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20823282"/>
      <w:bookmarkStart w:id="47" w:name="_Toc16938526"/>
      <w:bookmarkStart w:id="48" w:name="_Toc513029210"/>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16938527"/>
      <w:bookmarkStart w:id="51" w:name="_Toc20823283"/>
      <w:bookmarkStart w:id="52" w:name="_Toc513029211"/>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513029212"/>
      <w:bookmarkStart w:id="54" w:name="_Toc20823284"/>
      <w:bookmarkStart w:id="55" w:name="_Toc16938528"/>
      <w:bookmarkStart w:id="56" w:name="_Toc462564071"/>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462564072"/>
      <w:bookmarkStart w:id="58" w:name="_Toc517190884"/>
      <w:bookmarkStart w:id="59" w:name="_Toc120614216"/>
      <w:bookmarkStart w:id="60" w:name="_Toc513029213"/>
      <w:bookmarkStart w:id="61" w:name="_Toc16938529"/>
      <w:bookmarkStart w:id="62" w:name="_Toc20823285"/>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20823286"/>
      <w:bookmarkStart w:id="64" w:name="_Toc462564073"/>
      <w:bookmarkStart w:id="65" w:name="_Toc16938530"/>
      <w:bookmarkStart w:id="66" w:name="_Toc513029214"/>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462564074"/>
      <w:bookmarkStart w:id="68" w:name="_Toc16938531"/>
      <w:bookmarkStart w:id="69" w:name="_Toc20823287"/>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14577357"/>
      <w:bookmarkStart w:id="75" w:name="_Toc513029219"/>
      <w:bookmarkStart w:id="76" w:name="_Toc49090509"/>
      <w:bookmarkStart w:id="77" w:name="_Toc14577354"/>
      <w:bookmarkStart w:id="78" w:name="_Toc513029216"/>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68983"/>
      <w:bookmarkEnd w:id="86"/>
      <w:bookmarkStart w:id="87" w:name="_Hlt26954842"/>
      <w:bookmarkEnd w:id="87"/>
      <w:bookmarkStart w:id="88" w:name="_Hlt26670425"/>
      <w:bookmarkEnd w:id="88"/>
      <w:bookmarkStart w:id="89" w:name="_Hlt26670403"/>
      <w:bookmarkEnd w:id="89"/>
      <w:bookmarkStart w:id="90" w:name="_Hlt26954844"/>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670482"/>
      <w:bookmarkEnd w:id="91"/>
      <w:bookmarkStart w:id="92" w:name="_Hlt26954731"/>
      <w:bookmarkEnd w:id="92"/>
      <w:bookmarkStart w:id="93" w:name="_Hlt26954848"/>
      <w:bookmarkEnd w:id="93"/>
      <w:bookmarkStart w:id="94" w:name="_Hlt26954846"/>
      <w:bookmarkEnd w:id="94"/>
      <w:bookmarkStart w:id="95" w:name="_Hlt26670486"/>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14577359"/>
      <w:bookmarkStart w:id="97" w:name="_Toc49090510"/>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9"/>
      <w:bookmarkEnd w:id="99"/>
      <w:bookmarkStart w:id="100" w:name="_Hlt26954850"/>
      <w:bookmarkEnd w:id="100"/>
      <w:bookmarkStart w:id="101" w:name="_Hlt26954852"/>
      <w:bookmarkEnd w:id="101"/>
      <w:bookmarkStart w:id="102" w:name="_Hlt26954734"/>
      <w:bookmarkEnd w:id="102"/>
      <w:bookmarkStart w:id="103" w:name="_Toc49090512"/>
      <w:bookmarkStart w:id="104" w:name="_Toc14577361"/>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16938540"/>
      <w:bookmarkStart w:id="106" w:name="_Toc120614217"/>
      <w:bookmarkStart w:id="107" w:name="_Toc517190885"/>
      <w:bookmarkStart w:id="108" w:name="_Toc513029224"/>
      <w:bookmarkStart w:id="109" w:name="_Toc20823296"/>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513029225"/>
      <w:bookmarkStart w:id="111" w:name="_Toc20823297"/>
      <w:bookmarkStart w:id="112" w:name="_Toc462564084"/>
      <w:bookmarkStart w:id="113" w:name="_Toc16938541"/>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16938542"/>
      <w:bookmarkStart w:id="115" w:name="_Toc20823298"/>
      <w:bookmarkStart w:id="116" w:name="_Toc513029226"/>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16938543"/>
      <w:bookmarkStart w:id="118" w:name="_Toc513029227"/>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16938544"/>
      <w:bookmarkStart w:id="121" w:name="_Toc513029228"/>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20823301"/>
      <w:bookmarkStart w:id="125" w:name="_Toc120614218"/>
      <w:bookmarkStart w:id="126" w:name="_Toc16938545"/>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20823303"/>
      <w:bookmarkStart w:id="133" w:name="_Toc16938547"/>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16938548"/>
      <w:bookmarkStart w:id="135" w:name="_Toc20823304"/>
      <w:bookmarkStart w:id="136" w:name="_Toc513029232"/>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16938550"/>
      <w:bookmarkStart w:id="138" w:name="_Toc20823306"/>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16938554"/>
      <w:bookmarkStart w:id="147" w:name="_Toc20823310"/>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4"/>
      <w:bookmarkStart w:id="149" w:name="OLE_LINK5"/>
      <w:bookmarkStart w:id="150" w:name="OLE_LINK7"/>
      <w:bookmarkStart w:id="151" w:name="OLE_LINK3"/>
      <w:bookmarkStart w:id="152" w:name="OLE_LINK8"/>
      <w:bookmarkStart w:id="153" w:name="OLE_LINK6"/>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16938552"/>
      <w:bookmarkStart w:id="158" w:name="_Toc20823308"/>
      <w:bookmarkStart w:id="159" w:name="_Toc513029236"/>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16938553"/>
      <w:bookmarkStart w:id="161" w:name="_Toc513029237"/>
      <w:bookmarkStart w:id="162" w:name="_Toc20823309"/>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一、技术参数：</w:t>
      </w:r>
    </w:p>
    <w:p>
      <w:pPr>
        <w:ind w:left="2520" w:hanging="2520" w:hangingChars="900"/>
        <w:rPr>
          <w:rFonts w:ascii="宋体" w:hAnsi="宋体" w:eastAsia="宋体" w:cs="宋体"/>
          <w:kern w:val="2"/>
          <w:sz w:val="28"/>
          <w:szCs w:val="21"/>
        </w:rPr>
      </w:pPr>
      <w:r>
        <w:rPr>
          <w:rFonts w:hint="eastAsia" w:ascii="宋体" w:hAnsi="宋体" w:eastAsia="宋体" w:cs="宋体"/>
          <w:kern w:val="2"/>
          <w:sz w:val="28"/>
          <w:szCs w:val="21"/>
        </w:rPr>
        <w:t>▲（1）总体功能：该测试系统主要用于水凝胶、生物材料、弹性体等材料的力学性能试验测试。</w:t>
      </w:r>
    </w:p>
    <w:p>
      <w:pPr>
        <w:ind w:firstLine="280" w:firstLineChars="100"/>
        <w:rPr>
          <w:rFonts w:ascii="宋体" w:hAnsi="宋体" w:eastAsia="宋体" w:cs="宋体"/>
          <w:kern w:val="2"/>
          <w:sz w:val="28"/>
          <w:szCs w:val="21"/>
        </w:rPr>
      </w:pPr>
      <w:r>
        <w:rPr>
          <w:rFonts w:hint="eastAsia" w:ascii="宋体" w:hAnsi="宋体" w:eastAsia="宋体" w:cs="宋体"/>
          <w:kern w:val="2"/>
          <w:sz w:val="28"/>
          <w:szCs w:val="21"/>
        </w:rPr>
        <w:t>（2）具体的技术参数</w:t>
      </w:r>
    </w:p>
    <w:p>
      <w:pPr>
        <w:ind w:firstLine="280" w:firstLineChars="100"/>
        <w:rPr>
          <w:rFonts w:ascii="宋体" w:hAnsi="宋体" w:eastAsia="宋体" w:cs="宋体"/>
          <w:kern w:val="2"/>
          <w:sz w:val="28"/>
          <w:szCs w:val="21"/>
        </w:rPr>
      </w:pPr>
      <w:r>
        <w:rPr>
          <w:rFonts w:hint="eastAsia" w:ascii="宋体" w:hAnsi="宋体" w:eastAsia="宋体" w:cs="宋体"/>
          <w:kern w:val="2"/>
          <w:sz w:val="28"/>
          <w:szCs w:val="21"/>
        </w:rPr>
        <w:t>▲1.1  采用台式单立柱主机框架，机架最大载荷能力：5kN;横梁最大位移：≥800mm；</w:t>
      </w:r>
    </w:p>
    <w:p>
      <w:pPr>
        <w:ind w:firstLine="280" w:firstLineChars="100"/>
        <w:rPr>
          <w:rFonts w:ascii="宋体" w:hAnsi="宋体" w:eastAsia="宋体" w:cs="宋体"/>
          <w:kern w:val="2"/>
          <w:sz w:val="28"/>
          <w:szCs w:val="21"/>
        </w:rPr>
      </w:pPr>
      <w:r>
        <w:rPr>
          <w:rFonts w:hint="eastAsia" w:ascii="宋体" w:hAnsi="宋体" w:eastAsia="宋体" w:cs="宋体"/>
          <w:kern w:val="2"/>
          <w:sz w:val="28"/>
          <w:szCs w:val="21"/>
        </w:rPr>
        <w:t>▲1.2 系统载荷测量精度：满足校准标准ASTM E4，至少可至传感器满量程1/250，精度保证为示值的±0.5%；</w:t>
      </w:r>
    </w:p>
    <w:p>
      <w:pPr>
        <w:ind w:firstLine="280" w:firstLineChars="100"/>
        <w:rPr>
          <w:rFonts w:ascii="宋体" w:hAnsi="宋体" w:eastAsia="宋体" w:cs="宋体"/>
          <w:kern w:val="2"/>
          <w:sz w:val="28"/>
          <w:szCs w:val="21"/>
        </w:rPr>
      </w:pPr>
      <w:r>
        <w:rPr>
          <w:rFonts w:hint="eastAsia" w:ascii="宋体" w:hAnsi="宋体" w:eastAsia="宋体" w:cs="宋体"/>
          <w:kern w:val="2"/>
          <w:sz w:val="28"/>
          <w:szCs w:val="21"/>
        </w:rPr>
        <w:t>▲1.3试验的最大速度≥1800mm/min, 速度无级可调；在空载以及载荷恒定的条件下，速度偏差：≤±0.2%；应变准确度满足ASTM E83要求；</w:t>
      </w:r>
    </w:p>
    <w:p>
      <w:pPr>
        <w:ind w:firstLine="280" w:firstLineChars="100"/>
        <w:rPr>
          <w:rFonts w:ascii="宋体" w:hAnsi="宋体" w:eastAsia="宋体" w:cs="宋体"/>
          <w:kern w:val="2"/>
          <w:sz w:val="28"/>
          <w:szCs w:val="21"/>
        </w:rPr>
      </w:pPr>
      <w:r>
        <w:rPr>
          <w:rFonts w:hint="eastAsia" w:ascii="宋体" w:hAnsi="宋体" w:eastAsia="宋体" w:cs="宋体"/>
          <w:kern w:val="2"/>
          <w:sz w:val="28"/>
          <w:szCs w:val="21"/>
        </w:rPr>
        <w:t>▲1.4 夹具一：500N手动对夹夹具一套，配置黏胶片钳口，用于拉伸及剥离试验；</w:t>
      </w:r>
    </w:p>
    <w:p>
      <w:pPr>
        <w:ind w:firstLine="280" w:firstLineChars="100"/>
        <w:rPr>
          <w:rFonts w:ascii="宋体" w:hAnsi="宋体" w:eastAsia="宋体" w:cs="宋体"/>
          <w:kern w:val="2"/>
          <w:sz w:val="28"/>
          <w:szCs w:val="21"/>
        </w:rPr>
      </w:pPr>
      <w:r>
        <w:rPr>
          <w:rFonts w:hint="eastAsia" w:ascii="宋体" w:hAnsi="宋体" w:eastAsia="宋体" w:cs="宋体"/>
          <w:kern w:val="2"/>
          <w:sz w:val="28"/>
          <w:szCs w:val="21"/>
        </w:rPr>
        <w:t>▲1.5 夹具二：90°随动剥离夹具一套，满足90°随动剥离试验，保证试验过程中试样的对中性和同轴度；</w:t>
      </w:r>
    </w:p>
    <w:p>
      <w:pPr>
        <w:ind w:firstLine="280" w:firstLineChars="100"/>
        <w:rPr>
          <w:rFonts w:ascii="宋体" w:hAnsi="宋体" w:eastAsia="宋体" w:cs="宋体"/>
          <w:kern w:val="2"/>
          <w:sz w:val="28"/>
          <w:szCs w:val="21"/>
        </w:rPr>
      </w:pPr>
      <w:r>
        <w:rPr>
          <w:rFonts w:hint="eastAsia" w:ascii="宋体" w:hAnsi="宋体" w:eastAsia="宋体" w:cs="宋体"/>
          <w:kern w:val="2"/>
          <w:sz w:val="28"/>
          <w:szCs w:val="21"/>
        </w:rPr>
        <w:t>▲1.6 夹具三：压缩夹具一套，采用通用接头设计和可选带螺纹框架接头，防旋转功能和集成的定位销提高了测试精度和可重复性；</w:t>
      </w:r>
    </w:p>
    <w:p>
      <w:pPr>
        <w:ind w:firstLine="280" w:firstLineChars="100"/>
        <w:rPr>
          <w:rFonts w:ascii="宋体" w:hAnsi="宋体" w:eastAsia="宋体" w:cs="宋体"/>
          <w:kern w:val="2"/>
          <w:sz w:val="28"/>
          <w:szCs w:val="21"/>
        </w:rPr>
      </w:pPr>
      <w:r>
        <w:rPr>
          <w:rFonts w:hint="eastAsia" w:ascii="宋体" w:hAnsi="宋体" w:eastAsia="宋体" w:cs="宋体"/>
          <w:kern w:val="2"/>
          <w:sz w:val="28"/>
          <w:szCs w:val="21"/>
        </w:rPr>
        <w:t>▲1.7软件要求：</w:t>
      </w:r>
    </w:p>
    <w:p>
      <w:pPr>
        <w:ind w:firstLine="280" w:firstLineChars="100"/>
        <w:rPr>
          <w:rFonts w:ascii="宋体" w:hAnsi="宋体" w:eastAsia="宋体" w:cs="宋体"/>
          <w:kern w:val="2"/>
          <w:sz w:val="28"/>
          <w:szCs w:val="21"/>
        </w:rPr>
      </w:pPr>
      <w:r>
        <w:rPr>
          <w:rFonts w:hint="eastAsia" w:ascii="宋体" w:hAnsi="宋体" w:eastAsia="宋体" w:cs="宋体"/>
          <w:kern w:val="2"/>
          <w:sz w:val="28"/>
          <w:szCs w:val="21"/>
        </w:rPr>
        <w:t>1.7.1采用中英文操作界面，可随时切换；</w:t>
      </w:r>
    </w:p>
    <w:p>
      <w:pPr>
        <w:ind w:firstLine="280" w:firstLineChars="100"/>
        <w:rPr>
          <w:rFonts w:ascii="宋体" w:hAnsi="宋体" w:eastAsia="宋体" w:cs="宋体"/>
          <w:kern w:val="2"/>
          <w:sz w:val="28"/>
          <w:szCs w:val="21"/>
        </w:rPr>
      </w:pPr>
      <w:r>
        <w:rPr>
          <w:rFonts w:hint="eastAsia" w:ascii="宋体" w:hAnsi="宋体" w:eastAsia="宋体" w:cs="宋体"/>
          <w:kern w:val="2"/>
          <w:sz w:val="28"/>
          <w:szCs w:val="21"/>
        </w:rPr>
        <w:t>1.7.2用户可实现自由多步骤实验编程，支持以变量为设定条件，多段试验速度设定，多段采样速率设定，以实现复杂的加卸载循环实验;</w:t>
      </w:r>
    </w:p>
    <w:p>
      <w:pPr>
        <w:ind w:firstLine="280" w:firstLineChars="100"/>
        <w:rPr>
          <w:rFonts w:ascii="宋体" w:hAnsi="宋体" w:eastAsia="宋体" w:cs="宋体"/>
          <w:kern w:val="2"/>
          <w:sz w:val="28"/>
          <w:szCs w:val="21"/>
        </w:rPr>
      </w:pPr>
      <w:r>
        <w:rPr>
          <w:rFonts w:hint="eastAsia" w:ascii="宋体" w:hAnsi="宋体" w:eastAsia="宋体" w:cs="宋体"/>
          <w:kern w:val="2"/>
          <w:sz w:val="28"/>
          <w:szCs w:val="21"/>
        </w:rPr>
        <w:t>1.7.3用户可在试验方法中根据测试样品、夹具以传感器等特点自定义：软件实时显示的内容、机架横梁微调以及返回速度、试验保护、预加载功能、数据采样速率等参数;</w:t>
      </w:r>
    </w:p>
    <w:p>
      <w:pPr>
        <w:ind w:firstLine="281" w:firstLineChars="100"/>
        <w:rPr>
          <w:rFonts w:ascii="宋体" w:hAnsi="宋体" w:eastAsia="宋体" w:cs="宋体"/>
          <w:b/>
          <w:bCs/>
          <w:kern w:val="2"/>
          <w:sz w:val="28"/>
          <w:szCs w:val="21"/>
        </w:rPr>
      </w:pPr>
      <w:r>
        <w:rPr>
          <w:rFonts w:hint="eastAsia" w:ascii="宋体" w:hAnsi="宋体" w:eastAsia="宋体" w:cs="宋体"/>
          <w:b/>
          <w:bCs/>
          <w:kern w:val="2"/>
          <w:sz w:val="28"/>
          <w:szCs w:val="21"/>
        </w:rPr>
        <w:t>2.主要附件包括：</w:t>
      </w:r>
    </w:p>
    <w:p>
      <w:pPr>
        <w:ind w:firstLine="280" w:firstLineChars="100"/>
        <w:rPr>
          <w:rFonts w:ascii="宋体" w:hAnsi="宋体" w:eastAsia="宋体" w:cs="宋体"/>
          <w:kern w:val="2"/>
          <w:sz w:val="28"/>
          <w:szCs w:val="21"/>
        </w:rPr>
      </w:pPr>
      <w:r>
        <w:rPr>
          <w:rFonts w:hint="eastAsia" w:ascii="宋体" w:hAnsi="宋体" w:eastAsia="宋体" w:cs="宋体"/>
          <w:kern w:val="2"/>
          <w:sz w:val="28"/>
          <w:szCs w:val="21"/>
        </w:rPr>
        <w:t>2.1 500N载荷传感器 一套；</w:t>
      </w:r>
    </w:p>
    <w:p>
      <w:pPr>
        <w:ind w:firstLine="280" w:firstLineChars="100"/>
        <w:rPr>
          <w:rFonts w:ascii="宋体" w:hAnsi="宋体" w:eastAsia="宋体" w:cs="宋体"/>
          <w:kern w:val="2"/>
          <w:sz w:val="28"/>
          <w:szCs w:val="21"/>
        </w:rPr>
      </w:pPr>
      <w:r>
        <w:rPr>
          <w:rFonts w:hint="eastAsia" w:ascii="宋体" w:hAnsi="宋体" w:eastAsia="宋体" w:cs="宋体"/>
          <w:kern w:val="2"/>
          <w:sz w:val="28"/>
          <w:szCs w:val="21"/>
        </w:rPr>
        <w:t>2.2 50N载荷传感器一套；</w:t>
      </w:r>
    </w:p>
    <w:p>
      <w:pPr>
        <w:ind w:firstLine="280" w:firstLineChars="100"/>
        <w:rPr>
          <w:rFonts w:ascii="宋体" w:hAnsi="宋体" w:eastAsia="宋体" w:cs="宋体"/>
          <w:kern w:val="2"/>
          <w:sz w:val="28"/>
          <w:szCs w:val="21"/>
        </w:rPr>
      </w:pPr>
      <w:r>
        <w:rPr>
          <w:rFonts w:hint="eastAsia" w:ascii="宋体" w:hAnsi="宋体" w:eastAsia="宋体" w:cs="宋体"/>
          <w:kern w:val="2"/>
          <w:sz w:val="28"/>
          <w:szCs w:val="21"/>
        </w:rPr>
        <w:t>2.3 10N载荷传感器 一套；</w:t>
      </w:r>
    </w:p>
    <w:p>
      <w:pPr>
        <w:ind w:firstLine="280" w:firstLineChars="100"/>
        <w:rPr>
          <w:rFonts w:ascii="宋体" w:hAnsi="宋体" w:eastAsia="宋体" w:cs="宋体"/>
          <w:kern w:val="2"/>
          <w:sz w:val="28"/>
          <w:szCs w:val="21"/>
        </w:rPr>
      </w:pPr>
      <w:r>
        <w:rPr>
          <w:rFonts w:hint="eastAsia" w:ascii="宋体" w:hAnsi="宋体" w:eastAsia="宋体" w:cs="宋体"/>
          <w:kern w:val="2"/>
          <w:sz w:val="28"/>
          <w:szCs w:val="21"/>
        </w:rPr>
        <w:t>2.4 500N手动对夹夹具，配黏胶片钳口 一套；</w:t>
      </w:r>
    </w:p>
    <w:p>
      <w:pPr>
        <w:ind w:firstLine="280" w:firstLineChars="100"/>
        <w:rPr>
          <w:rFonts w:ascii="宋体" w:hAnsi="宋体" w:eastAsia="宋体" w:cs="宋体"/>
          <w:kern w:val="2"/>
          <w:sz w:val="28"/>
          <w:szCs w:val="21"/>
        </w:rPr>
      </w:pPr>
      <w:r>
        <w:rPr>
          <w:rFonts w:hint="eastAsia" w:ascii="宋体" w:hAnsi="宋体" w:eastAsia="宋体" w:cs="宋体"/>
          <w:kern w:val="2"/>
          <w:sz w:val="28"/>
          <w:szCs w:val="21"/>
        </w:rPr>
        <w:t>2.5 90°随动剥离具一套；</w:t>
      </w:r>
    </w:p>
    <w:p>
      <w:pPr>
        <w:ind w:firstLine="280" w:firstLineChars="100"/>
        <w:rPr>
          <w:rFonts w:ascii="宋体" w:hAnsi="宋体" w:eastAsia="宋体" w:cs="宋体"/>
          <w:kern w:val="2"/>
          <w:sz w:val="28"/>
          <w:szCs w:val="21"/>
        </w:rPr>
      </w:pPr>
      <w:r>
        <w:rPr>
          <w:rFonts w:hint="eastAsia" w:ascii="宋体" w:hAnsi="宋体" w:eastAsia="宋体" w:cs="宋体"/>
          <w:kern w:val="2"/>
          <w:sz w:val="28"/>
          <w:szCs w:val="21"/>
        </w:rPr>
        <w:t>2.6 高精度压缩夹具一套；</w:t>
      </w:r>
    </w:p>
    <w:p>
      <w:pPr>
        <w:ind w:firstLine="280" w:firstLineChars="100"/>
        <w:rPr>
          <w:rFonts w:ascii="宋体" w:hAnsi="宋体" w:eastAsia="宋体" w:cs="宋体"/>
          <w:kern w:val="2"/>
          <w:sz w:val="28"/>
          <w:szCs w:val="21"/>
        </w:rPr>
      </w:pPr>
      <w:r>
        <w:rPr>
          <w:rFonts w:hint="eastAsia" w:ascii="宋体" w:hAnsi="宋体" w:eastAsia="宋体" w:cs="宋体"/>
          <w:kern w:val="2"/>
          <w:sz w:val="28"/>
          <w:szCs w:val="21"/>
        </w:rPr>
        <w:t>2.7中英文版材料试验软件，包括拉伸，压缩，弯曲，剥离，撕裂等所有功能一套；</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4"/>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保修期：整个项目免费质保期1年，自验收合格之日起算，并提供相关承诺书。质保期内发生任何设备损坏，所需要的维修费用（包括零部件费用、维修费用）均由卖方承担（人为操作不当造成的损坏除外）。</w:t>
      </w:r>
    </w:p>
    <w:p>
      <w:pPr>
        <w:pStyle w:val="14"/>
        <w:spacing w:line="0" w:lineRule="atLeast"/>
        <w:ind w:left="982" w:leftChars="128" w:hanging="700" w:hangingChars="250"/>
        <w:rPr>
          <w:sz w:val="28"/>
          <w:szCs w:val="28"/>
        </w:rPr>
      </w:pPr>
      <w:r>
        <w:rPr>
          <w:rFonts w:hint="eastAsia" w:cs="Times New Roman" w:asciiTheme="minorEastAsia" w:hAnsiTheme="minorEastAsia" w:eastAsiaTheme="minorEastAsia"/>
          <w:kern w:val="2"/>
          <w:sz w:val="28"/>
          <w:szCs w:val="28"/>
        </w:rPr>
        <w:t>（2）</w:t>
      </w:r>
      <w:r>
        <w:rPr>
          <w:rFonts w:hint="eastAsia"/>
          <w:sz w:val="28"/>
          <w:szCs w:val="28"/>
        </w:rPr>
        <w:t>供应商应为采购方进行人员培训，</w:t>
      </w:r>
      <w:r>
        <w:rPr>
          <w:rFonts w:hint="eastAsia" w:asciiTheme="minorEastAsia" w:hAnsiTheme="minorEastAsia" w:eastAsiaTheme="minorEastAsia"/>
          <w:sz w:val="28"/>
          <w:szCs w:val="28"/>
        </w:rPr>
        <w:t>提供每年不少于1次的设备操作培训，</w:t>
      </w:r>
      <w:r>
        <w:rPr>
          <w:rFonts w:hint="eastAsia"/>
          <w:sz w:val="28"/>
          <w:szCs w:val="28"/>
        </w:rPr>
        <w:t>对人员培训不低于</w:t>
      </w:r>
      <w:r>
        <w:rPr>
          <w:rFonts w:hint="eastAsia"/>
          <w:sz w:val="28"/>
          <w:szCs w:val="28"/>
          <w:u w:val="single"/>
        </w:rPr>
        <w:t>2</w:t>
      </w:r>
      <w:r>
        <w:rPr>
          <w:rFonts w:hint="eastAsia"/>
          <w:sz w:val="28"/>
          <w:szCs w:val="28"/>
        </w:rPr>
        <w:t>人。</w:t>
      </w:r>
    </w:p>
    <w:p>
      <w:pPr>
        <w:pStyle w:val="14"/>
        <w:spacing w:line="0" w:lineRule="atLeast"/>
        <w:ind w:left="982" w:leftChars="128" w:hanging="700" w:hangingChars="250"/>
        <w:rPr>
          <w:rFonts w:cs="Times New Roman" w:asciiTheme="minorEastAsia" w:hAnsiTheme="minorEastAsia" w:eastAsiaTheme="minorEastAsia"/>
          <w:kern w:val="2"/>
          <w:sz w:val="28"/>
          <w:szCs w:val="28"/>
        </w:rPr>
      </w:pPr>
      <w:r>
        <w:rPr>
          <w:rFonts w:hint="eastAsia" w:asciiTheme="minorEastAsia" w:hAnsiTheme="minorEastAsia" w:eastAsiaTheme="minorEastAsia"/>
          <w:bCs/>
          <w:sz w:val="28"/>
          <w:szCs w:val="28"/>
        </w:rPr>
        <w:t>（3）售后技术服务要求：</w:t>
      </w:r>
      <w:r>
        <w:rPr>
          <w:rFonts w:hint="eastAsia" w:asciiTheme="minorEastAsia" w:hAnsiTheme="minorEastAsia" w:eastAsiaTheme="minorEastAsia"/>
          <w:sz w:val="28"/>
          <w:szCs w:val="28"/>
        </w:rPr>
        <w:t>提供详细的售后服务计划。</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4"/>
        <w:spacing w:line="0" w:lineRule="atLeas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4"/>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401414769"/>
      <w:r>
        <w:rPr>
          <w:rFonts w:hint="eastAsia" w:ascii="宋体" w:hAnsi="宋体" w:eastAsia="宋体" w:cs="宋体"/>
          <w:szCs w:val="21"/>
        </w:rPr>
        <w:t>货到正常运行后以15天为验收期限，中标价小于等于20万元的设备，验收期满或验收合格后付全款；中标价大于20万元的设备，验收期满或验收合格后支付到合同金额的90%，余10%尾款于正常使用一年后无息支付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
    <w:p/>
    <w:p/>
    <w:p/>
    <w:p>
      <w:pPr>
        <w:pStyle w:val="2"/>
        <w:keepNext w:val="0"/>
        <w:keepLines/>
        <w:spacing w:line="360" w:lineRule="auto"/>
        <w:jc w:val="both"/>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7"/>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blHeader/>
        </w:trPr>
        <w:tc>
          <w:tcPr>
            <w:tcW w:w="534" w:type="dxa"/>
            <w:vAlign w:val="center"/>
          </w:tcPr>
          <w:p>
            <w:pPr>
              <w:spacing w:line="360" w:lineRule="auto"/>
              <w:jc w:val="center"/>
              <w:rPr>
                <w:rFonts w:ascii="Arial" w:hAnsi="Arial" w:cs="Arial"/>
                <w:bCs/>
                <w:sz w:val="21"/>
                <w:szCs w:val="21"/>
              </w:rPr>
            </w:pPr>
            <w:r>
              <w:rPr>
                <w:rFonts w:ascii="Arial" w:hAnsi="Arial" w:cs="Arial"/>
                <w:bCs/>
                <w:sz w:val="21"/>
                <w:szCs w:val="21"/>
              </w:rPr>
              <w:t>序号</w:t>
            </w:r>
          </w:p>
        </w:tc>
        <w:tc>
          <w:tcPr>
            <w:tcW w:w="1984" w:type="dxa"/>
            <w:vAlign w:val="center"/>
          </w:tcPr>
          <w:p>
            <w:pPr>
              <w:spacing w:line="360" w:lineRule="auto"/>
              <w:jc w:val="center"/>
              <w:rPr>
                <w:rFonts w:ascii="Arial" w:hAnsi="Arial" w:cs="Arial"/>
                <w:bCs/>
                <w:sz w:val="21"/>
                <w:szCs w:val="21"/>
              </w:rPr>
            </w:pPr>
            <w:r>
              <w:rPr>
                <w:rFonts w:ascii="Arial" w:hAnsi="Arial" w:cs="Arial"/>
                <w:bCs/>
                <w:sz w:val="21"/>
                <w:szCs w:val="21"/>
              </w:rPr>
              <w:t>评分因素</w:t>
            </w:r>
          </w:p>
        </w:tc>
        <w:tc>
          <w:tcPr>
            <w:tcW w:w="5614" w:type="dxa"/>
            <w:vAlign w:val="center"/>
          </w:tcPr>
          <w:p>
            <w:pPr>
              <w:spacing w:line="360" w:lineRule="auto"/>
              <w:jc w:val="center"/>
              <w:rPr>
                <w:rFonts w:ascii="Arial" w:hAnsi="Arial" w:cs="Arial"/>
                <w:bCs/>
                <w:sz w:val="21"/>
                <w:szCs w:val="21"/>
              </w:rPr>
            </w:pPr>
            <w:r>
              <w:rPr>
                <w:rFonts w:ascii="Arial" w:hAnsi="Arial" w:cs="Arial"/>
                <w:bCs/>
                <w:sz w:val="21"/>
                <w:szCs w:val="21"/>
              </w:rPr>
              <w:t>评审细则</w:t>
            </w:r>
          </w:p>
        </w:tc>
        <w:tc>
          <w:tcPr>
            <w:tcW w:w="798" w:type="dxa"/>
            <w:vAlign w:val="center"/>
          </w:tcPr>
          <w:p>
            <w:pPr>
              <w:spacing w:line="360" w:lineRule="auto"/>
              <w:jc w:val="center"/>
              <w:rPr>
                <w:rFonts w:ascii="Arial" w:hAnsi="Arial" w:cs="Arial"/>
                <w:bCs/>
                <w:sz w:val="21"/>
                <w:szCs w:val="21"/>
              </w:rPr>
            </w:pPr>
            <w:r>
              <w:rPr>
                <w:rFonts w:ascii="Arial" w:hAnsi="Arial" w:cs="Arial"/>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trPr>
        <w:tc>
          <w:tcPr>
            <w:tcW w:w="534"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w:t>
            </w:r>
          </w:p>
        </w:tc>
        <w:tc>
          <w:tcPr>
            <w:tcW w:w="1984"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价格</w:t>
            </w:r>
          </w:p>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（30分）</w:t>
            </w:r>
          </w:p>
        </w:tc>
        <w:tc>
          <w:tcPr>
            <w:tcW w:w="5614" w:type="dxa"/>
            <w:vAlign w:val="center"/>
          </w:tcPr>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本次招标，以进入详细评审的各投标人评标价的最低值为A值，A值为价格分的满分，即30分。其他投标人的价格分统一按照以下公式计算：投标人评标价得分=（A／该投标人评标价）×30。（保留小数点后面两位）</w:t>
            </w:r>
          </w:p>
        </w:tc>
        <w:tc>
          <w:tcPr>
            <w:tcW w:w="798"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534" w:type="dxa"/>
            <w:vMerge w:val="restart"/>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2</w:t>
            </w:r>
          </w:p>
        </w:tc>
        <w:tc>
          <w:tcPr>
            <w:tcW w:w="1984" w:type="dxa"/>
            <w:vMerge w:val="restart"/>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技术能力</w:t>
            </w:r>
          </w:p>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（33分）</w:t>
            </w:r>
          </w:p>
        </w:tc>
        <w:tc>
          <w:tcPr>
            <w:tcW w:w="5614" w:type="dxa"/>
            <w:vAlign w:val="center"/>
          </w:tcPr>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根据各投标产品的先进性、匹配性、可靠性、稳定性以及质量、性能酌情打分，较好4-5分，一般2-3分，其他0-1分。</w:t>
            </w:r>
          </w:p>
        </w:tc>
        <w:tc>
          <w:tcPr>
            <w:tcW w:w="798" w:type="dxa"/>
            <w:vAlign w:val="center"/>
          </w:tcPr>
          <w:p>
            <w:pPr>
              <w:spacing w:line="360" w:lineRule="auto"/>
              <w:ind w:firstLine="105" w:firstLineChars="50"/>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trPr>
        <w:tc>
          <w:tcPr>
            <w:tcW w:w="534" w:type="dxa"/>
            <w:vMerge w:val="continue"/>
            <w:vAlign w:val="center"/>
          </w:tcPr>
          <w:p>
            <w:pPr>
              <w:spacing w:line="360" w:lineRule="auto"/>
              <w:jc w:val="center"/>
              <w:rPr>
                <w:rFonts w:cs="Arial" w:asciiTheme="minorEastAsia" w:hAnsiTheme="minorEastAsia" w:eastAsiaTheme="minorEastAsia"/>
                <w:sz w:val="21"/>
                <w:szCs w:val="21"/>
              </w:rPr>
            </w:pPr>
          </w:p>
        </w:tc>
        <w:tc>
          <w:tcPr>
            <w:tcW w:w="1984" w:type="dxa"/>
            <w:vMerge w:val="continue"/>
            <w:vAlign w:val="center"/>
          </w:tcPr>
          <w:p>
            <w:pPr>
              <w:spacing w:line="360" w:lineRule="auto"/>
              <w:rPr>
                <w:rFonts w:cs="Arial" w:asciiTheme="minorEastAsia" w:hAnsiTheme="minorEastAsia" w:eastAsiaTheme="minorEastAsia"/>
                <w:sz w:val="21"/>
                <w:szCs w:val="21"/>
              </w:rPr>
            </w:pPr>
          </w:p>
        </w:tc>
        <w:tc>
          <w:tcPr>
            <w:tcW w:w="5614" w:type="dxa"/>
            <w:vAlign w:val="center"/>
          </w:tcPr>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投标产品对招标文件具体需求的响应程度：</w:t>
            </w:r>
          </w:p>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1、满足招标文件技术指标、参数要求的得24分（" ★"项的为主要指标，不满足的每项减4分；其他每有一项偏离减3分；负偏离超过4项的不得分；）</w:t>
            </w:r>
          </w:p>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2、每有一项优于招标文件，经评委会认可的加1分，最多加4分。</w:t>
            </w:r>
          </w:p>
        </w:tc>
        <w:tc>
          <w:tcPr>
            <w:tcW w:w="798" w:type="dxa"/>
            <w:vAlign w:val="center"/>
          </w:tcPr>
          <w:p>
            <w:pPr>
              <w:spacing w:line="360" w:lineRule="auto"/>
              <w:ind w:firstLine="105" w:firstLineChars="50"/>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9" w:hRule="atLeast"/>
        </w:trPr>
        <w:tc>
          <w:tcPr>
            <w:tcW w:w="534" w:type="dxa"/>
            <w:vMerge w:val="restart"/>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3</w:t>
            </w:r>
          </w:p>
        </w:tc>
        <w:tc>
          <w:tcPr>
            <w:tcW w:w="1984" w:type="dxa"/>
            <w:vMerge w:val="restart"/>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服务</w:t>
            </w:r>
          </w:p>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（15分）</w:t>
            </w:r>
          </w:p>
        </w:tc>
        <w:tc>
          <w:tcPr>
            <w:tcW w:w="5614" w:type="dxa"/>
            <w:vAlign w:val="center"/>
          </w:tcPr>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售后服务方案：售后服务体系、江苏地区售后服务机构及人员、售后服务承诺、售后服务应答及处理时间，质保期内的售后服务范围、质保期满后的售后服务范围和收费情况、备品备件的承诺。</w:t>
            </w:r>
          </w:p>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方案完整、合理可行的得9-11分；方案较完整、较合理可行的得5-8分；方案不完整、不合理不可行的得0-4分</w:t>
            </w:r>
          </w:p>
        </w:tc>
        <w:tc>
          <w:tcPr>
            <w:tcW w:w="798"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vMerge w:val="continue"/>
            <w:vAlign w:val="center"/>
          </w:tcPr>
          <w:p>
            <w:pPr>
              <w:spacing w:line="360" w:lineRule="auto"/>
              <w:jc w:val="center"/>
              <w:rPr>
                <w:rFonts w:cs="Arial" w:asciiTheme="minorEastAsia" w:hAnsiTheme="minorEastAsia" w:eastAsiaTheme="minorEastAsia"/>
                <w:sz w:val="21"/>
                <w:szCs w:val="21"/>
              </w:rPr>
            </w:pPr>
          </w:p>
        </w:tc>
        <w:tc>
          <w:tcPr>
            <w:tcW w:w="1984" w:type="dxa"/>
            <w:vMerge w:val="continue"/>
            <w:vAlign w:val="center"/>
          </w:tcPr>
          <w:p>
            <w:pPr>
              <w:spacing w:line="360" w:lineRule="auto"/>
              <w:rPr>
                <w:rFonts w:cs="Arial" w:asciiTheme="minorEastAsia" w:hAnsiTheme="minorEastAsia" w:eastAsiaTheme="minorEastAsia"/>
                <w:sz w:val="21"/>
                <w:szCs w:val="21"/>
              </w:rPr>
            </w:pPr>
          </w:p>
        </w:tc>
        <w:tc>
          <w:tcPr>
            <w:tcW w:w="5614" w:type="dxa"/>
            <w:vAlign w:val="center"/>
          </w:tcPr>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4</w:t>
            </w:r>
          </w:p>
        </w:tc>
        <w:tc>
          <w:tcPr>
            <w:tcW w:w="1984" w:type="dxa"/>
            <w:vAlign w:val="center"/>
          </w:tcPr>
          <w:p>
            <w:pPr>
              <w:spacing w:line="360" w:lineRule="auto"/>
              <w:ind w:right="-275" w:rightChars="-125"/>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业绩（15分）</w:t>
            </w:r>
          </w:p>
        </w:tc>
        <w:tc>
          <w:tcPr>
            <w:tcW w:w="5614" w:type="dxa"/>
            <w:vAlign w:val="center"/>
          </w:tcPr>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投标人2016年01月01日以来的类似项目业绩，每提供一个得3分，最高得15分。 （请提供有效的加盖公章的合同复印件）</w:t>
            </w:r>
          </w:p>
        </w:tc>
        <w:tc>
          <w:tcPr>
            <w:tcW w:w="798"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5</w:t>
            </w:r>
          </w:p>
        </w:tc>
        <w:tc>
          <w:tcPr>
            <w:tcW w:w="1984"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投标人财务与信誉状况（3分）</w:t>
            </w:r>
          </w:p>
        </w:tc>
        <w:tc>
          <w:tcPr>
            <w:tcW w:w="5614" w:type="dxa"/>
            <w:vAlign w:val="center"/>
          </w:tcPr>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34"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6</w:t>
            </w:r>
          </w:p>
        </w:tc>
        <w:tc>
          <w:tcPr>
            <w:tcW w:w="1984" w:type="dxa"/>
            <w:vAlign w:val="center"/>
          </w:tcPr>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对招标文件响应程度（2分）</w:t>
            </w:r>
          </w:p>
        </w:tc>
        <w:tc>
          <w:tcPr>
            <w:tcW w:w="5614" w:type="dxa"/>
            <w:vAlign w:val="center"/>
          </w:tcPr>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534" w:type="dxa"/>
            <w:vMerge w:val="restart"/>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7</w:t>
            </w:r>
          </w:p>
        </w:tc>
        <w:tc>
          <w:tcPr>
            <w:tcW w:w="1984" w:type="dxa"/>
            <w:vMerge w:val="restart"/>
            <w:vAlign w:val="center"/>
          </w:tcPr>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国家政策导向（2分）</w:t>
            </w:r>
          </w:p>
        </w:tc>
        <w:tc>
          <w:tcPr>
            <w:tcW w:w="5614" w:type="dxa"/>
            <w:vAlign w:val="center"/>
          </w:tcPr>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环境标志产品：是指列入财政部、环境保护部最新公布的品目清单范围内的产品（提供有效期内国家确定的认证机构出具的认证证书）</w:t>
            </w:r>
          </w:p>
        </w:tc>
        <w:tc>
          <w:tcPr>
            <w:tcW w:w="798"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534" w:type="dxa"/>
            <w:vMerge w:val="continue"/>
            <w:vAlign w:val="center"/>
          </w:tcPr>
          <w:p>
            <w:pPr>
              <w:spacing w:line="360" w:lineRule="auto"/>
              <w:jc w:val="center"/>
              <w:rPr>
                <w:rFonts w:cs="Arial" w:asciiTheme="minorEastAsia" w:hAnsiTheme="minorEastAsia" w:eastAsiaTheme="minorEastAsia"/>
                <w:sz w:val="21"/>
                <w:szCs w:val="21"/>
              </w:rPr>
            </w:pPr>
          </w:p>
        </w:tc>
        <w:tc>
          <w:tcPr>
            <w:tcW w:w="1984" w:type="dxa"/>
            <w:vMerge w:val="continue"/>
            <w:vAlign w:val="center"/>
          </w:tcPr>
          <w:p>
            <w:pPr>
              <w:spacing w:line="360" w:lineRule="auto"/>
              <w:rPr>
                <w:rFonts w:cs="Arial" w:asciiTheme="minorEastAsia" w:hAnsiTheme="minorEastAsia" w:eastAsiaTheme="minorEastAsia"/>
                <w:sz w:val="21"/>
                <w:szCs w:val="21"/>
              </w:rPr>
            </w:pPr>
          </w:p>
        </w:tc>
        <w:tc>
          <w:tcPr>
            <w:tcW w:w="5614" w:type="dxa"/>
            <w:vAlign w:val="center"/>
          </w:tcPr>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节能产品：是指列入财政部、国家发改委最新公布的品目清单范围内的产品（提供有效期内国家确定的认证机构出具的认证证书）</w:t>
            </w:r>
          </w:p>
        </w:tc>
        <w:tc>
          <w:tcPr>
            <w:tcW w:w="798"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w:t>
            </w:r>
          </w:p>
        </w:tc>
      </w:tr>
    </w:tbl>
    <w:p>
      <w:pPr>
        <w:spacing w:line="360" w:lineRule="auto"/>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26554094"/>
      <w:bookmarkStart w:id="171" w:name="_Toc120614282"/>
      <w:bookmarkStart w:id="172"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格式3__银行出具的资信证明"/>
      <w:bookmarkEnd w:id="176"/>
      <w:bookmarkStart w:id="177" w:name="_Hlt2667138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7"/>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授权代表身份证明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法人授权书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无重大违法说明 </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jc w:val="both"/>
        <w:rPr>
          <w:rFonts w:asciiTheme="minorEastAsia" w:hAnsiTheme="minorEastAsia" w:eastAsiaTheme="minorEastAsia"/>
          <w:sz w:val="28"/>
          <w:szCs w:val="28"/>
        </w:rPr>
      </w:pPr>
      <w:r>
        <w:rPr>
          <w:rFonts w:hint="eastAsia" w:ascii="宋体" w:hAnsi="宋体"/>
        </w:rPr>
        <w:t xml:space="preserve"> </w:t>
      </w:r>
      <w:r>
        <w:rPr>
          <w:rFonts w:hint="eastAsia" w:asciiTheme="minorEastAsia" w:hAnsiTheme="minorEastAsia" w:eastAsiaTheme="minorEastAsia"/>
          <w:sz w:val="28"/>
          <w:szCs w:val="28"/>
        </w:rPr>
        <w:t>法定代表人或授权代表签字：</w:t>
      </w:r>
    </w:p>
    <w:p>
      <w:pPr>
        <w:spacing w:line="360" w:lineRule="auto"/>
        <w:rPr>
          <w:rFonts w:ascii="宋体" w:hAnsi="宋体" w:eastAsia="宋体"/>
          <w:b/>
          <w:bCs/>
          <w:sz w:val="36"/>
          <w:szCs w:val="36"/>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7"/>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9"/>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9"/>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9"/>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9"/>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9"/>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9"/>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9"/>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9"/>
        <w:spacing w:before="120" w:after="120" w:line="240" w:lineRule="atLeast"/>
        <w:rPr>
          <w:rFonts w:asciiTheme="minorEastAsia" w:hAnsiTheme="minorEastAsia" w:eastAsiaTheme="minorEastAsia"/>
          <w:sz w:val="24"/>
          <w:szCs w:val="28"/>
        </w:rPr>
      </w:pP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9"/>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9"/>
        <w:spacing w:before="120" w:after="120" w:line="300" w:lineRule="auto"/>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526"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Fonts w:ascii="宋体" w:hAnsi="宋体"/>
      </w:rPr>
    </w:pPr>
    <w:r>
      <w:rPr>
        <w:rFonts w:ascii="宋体" w:hAnsi="宋体"/>
      </w:rPr>
      <w:fldChar w:fldCharType="begin"/>
    </w:r>
    <w:r>
      <w:rPr>
        <w:rStyle w:val="19"/>
        <w:rFonts w:ascii="宋体" w:hAnsi="宋体"/>
      </w:rPr>
      <w:instrText xml:space="preserve">PAGE  </w:instrText>
    </w:r>
    <w:r>
      <w:rPr>
        <w:rFonts w:ascii="宋体" w:hAnsi="宋体"/>
      </w:rPr>
      <w:fldChar w:fldCharType="separate"/>
    </w:r>
    <w:r>
      <w:rPr>
        <w:rStyle w:val="19"/>
        <w:rFonts w:ascii="宋体" w:hAnsi="宋体"/>
      </w:rPr>
      <w:t>20</w:t>
    </w:r>
    <w:r>
      <w:rPr>
        <w:rFonts w:ascii="宋体" w:hAnsi="宋体"/>
      </w:rPr>
      <w:fldChar w:fldCharType="end"/>
    </w:r>
  </w:p>
  <w:p>
    <w:pPr>
      <w:pStyle w:val="11"/>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C4DA51"/>
    <w:multiLevelType w:val="singleLevel"/>
    <w:tmpl w:val="DDC4DA51"/>
    <w:lvl w:ilvl="0" w:tentative="0">
      <w:start w:val="3"/>
      <w:numFmt w:val="chineseCounting"/>
      <w:suff w:val="nothing"/>
      <w:lvlText w:val="（%1）"/>
      <w:lvlJc w:val="left"/>
      <w:rPr>
        <w:rFonts w:hint="eastAsia"/>
      </w:rPr>
    </w:lvl>
  </w:abstractNum>
  <w:abstractNum w:abstractNumId="1">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4B69"/>
    <w:rsid w:val="00015BC9"/>
    <w:rsid w:val="00026CA5"/>
    <w:rsid w:val="000335D6"/>
    <w:rsid w:val="00045531"/>
    <w:rsid w:val="000458DB"/>
    <w:rsid w:val="00046D67"/>
    <w:rsid w:val="000508AB"/>
    <w:rsid w:val="00050D10"/>
    <w:rsid w:val="00053D2D"/>
    <w:rsid w:val="00053D8C"/>
    <w:rsid w:val="0005451A"/>
    <w:rsid w:val="00062EBC"/>
    <w:rsid w:val="00063E5E"/>
    <w:rsid w:val="00070968"/>
    <w:rsid w:val="00075408"/>
    <w:rsid w:val="00077718"/>
    <w:rsid w:val="0008466D"/>
    <w:rsid w:val="00086A59"/>
    <w:rsid w:val="00090C36"/>
    <w:rsid w:val="00092136"/>
    <w:rsid w:val="0009546A"/>
    <w:rsid w:val="00096EB7"/>
    <w:rsid w:val="000A4EF6"/>
    <w:rsid w:val="000B08EC"/>
    <w:rsid w:val="000B0E83"/>
    <w:rsid w:val="000B538B"/>
    <w:rsid w:val="000C3635"/>
    <w:rsid w:val="000C6FE5"/>
    <w:rsid w:val="000C7C51"/>
    <w:rsid w:val="000D0163"/>
    <w:rsid w:val="000E501B"/>
    <w:rsid w:val="000E7086"/>
    <w:rsid w:val="000F4CEA"/>
    <w:rsid w:val="00100D01"/>
    <w:rsid w:val="00101A8A"/>
    <w:rsid w:val="0012092A"/>
    <w:rsid w:val="001225B3"/>
    <w:rsid w:val="00124A3C"/>
    <w:rsid w:val="00125C10"/>
    <w:rsid w:val="00130328"/>
    <w:rsid w:val="00137666"/>
    <w:rsid w:val="00141840"/>
    <w:rsid w:val="001424D3"/>
    <w:rsid w:val="0016026B"/>
    <w:rsid w:val="00160A9B"/>
    <w:rsid w:val="001647DF"/>
    <w:rsid w:val="00165E37"/>
    <w:rsid w:val="00166953"/>
    <w:rsid w:val="001674B0"/>
    <w:rsid w:val="00167738"/>
    <w:rsid w:val="00170D4A"/>
    <w:rsid w:val="0018443B"/>
    <w:rsid w:val="00193521"/>
    <w:rsid w:val="001A049C"/>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340A"/>
    <w:rsid w:val="001F4F63"/>
    <w:rsid w:val="0020432E"/>
    <w:rsid w:val="00206503"/>
    <w:rsid w:val="002070F5"/>
    <w:rsid w:val="00211026"/>
    <w:rsid w:val="00232127"/>
    <w:rsid w:val="002327D4"/>
    <w:rsid w:val="00244DA0"/>
    <w:rsid w:val="002453B7"/>
    <w:rsid w:val="0025535E"/>
    <w:rsid w:val="00266C11"/>
    <w:rsid w:val="00272CB4"/>
    <w:rsid w:val="00295368"/>
    <w:rsid w:val="0029740A"/>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46E25"/>
    <w:rsid w:val="003525A5"/>
    <w:rsid w:val="003538BE"/>
    <w:rsid w:val="0036460C"/>
    <w:rsid w:val="00365285"/>
    <w:rsid w:val="0037490B"/>
    <w:rsid w:val="0038270D"/>
    <w:rsid w:val="00397BA9"/>
    <w:rsid w:val="003B1427"/>
    <w:rsid w:val="003B2DF7"/>
    <w:rsid w:val="003B3CF8"/>
    <w:rsid w:val="003C4103"/>
    <w:rsid w:val="003C7177"/>
    <w:rsid w:val="003D0023"/>
    <w:rsid w:val="003D2715"/>
    <w:rsid w:val="003D37D8"/>
    <w:rsid w:val="003D3DB6"/>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77C2E"/>
    <w:rsid w:val="004808C6"/>
    <w:rsid w:val="004A4F2D"/>
    <w:rsid w:val="004D01B7"/>
    <w:rsid w:val="004D4A10"/>
    <w:rsid w:val="004E0EEC"/>
    <w:rsid w:val="004E3402"/>
    <w:rsid w:val="004F2464"/>
    <w:rsid w:val="004F54A0"/>
    <w:rsid w:val="004F5C9E"/>
    <w:rsid w:val="004F6DEC"/>
    <w:rsid w:val="004F7103"/>
    <w:rsid w:val="00502136"/>
    <w:rsid w:val="005129DB"/>
    <w:rsid w:val="00522A2E"/>
    <w:rsid w:val="00523B5F"/>
    <w:rsid w:val="005253AD"/>
    <w:rsid w:val="00532F1E"/>
    <w:rsid w:val="00541E69"/>
    <w:rsid w:val="00547E5B"/>
    <w:rsid w:val="00557F99"/>
    <w:rsid w:val="0057236C"/>
    <w:rsid w:val="0057580C"/>
    <w:rsid w:val="00575FC2"/>
    <w:rsid w:val="0058115B"/>
    <w:rsid w:val="00582807"/>
    <w:rsid w:val="00582977"/>
    <w:rsid w:val="005866DD"/>
    <w:rsid w:val="00590D7C"/>
    <w:rsid w:val="0059317B"/>
    <w:rsid w:val="00596F67"/>
    <w:rsid w:val="005A3A50"/>
    <w:rsid w:val="005B00B9"/>
    <w:rsid w:val="005B1985"/>
    <w:rsid w:val="005B44B4"/>
    <w:rsid w:val="005C005E"/>
    <w:rsid w:val="005C66D3"/>
    <w:rsid w:val="005D2E1F"/>
    <w:rsid w:val="005F103C"/>
    <w:rsid w:val="00601FB9"/>
    <w:rsid w:val="0060453F"/>
    <w:rsid w:val="006045FD"/>
    <w:rsid w:val="006073C6"/>
    <w:rsid w:val="006160DD"/>
    <w:rsid w:val="006218B4"/>
    <w:rsid w:val="006411FE"/>
    <w:rsid w:val="006600C0"/>
    <w:rsid w:val="00663D89"/>
    <w:rsid w:val="00681F07"/>
    <w:rsid w:val="00692BCF"/>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0F2F"/>
    <w:rsid w:val="0074740B"/>
    <w:rsid w:val="00747556"/>
    <w:rsid w:val="007543D9"/>
    <w:rsid w:val="00754FBF"/>
    <w:rsid w:val="00755373"/>
    <w:rsid w:val="00762EB8"/>
    <w:rsid w:val="007730F5"/>
    <w:rsid w:val="00791FC9"/>
    <w:rsid w:val="00792482"/>
    <w:rsid w:val="0079316D"/>
    <w:rsid w:val="007944EA"/>
    <w:rsid w:val="007947E9"/>
    <w:rsid w:val="007A58F8"/>
    <w:rsid w:val="007B3D32"/>
    <w:rsid w:val="007E0F09"/>
    <w:rsid w:val="007E2F52"/>
    <w:rsid w:val="007E466E"/>
    <w:rsid w:val="007E5C50"/>
    <w:rsid w:val="007E7839"/>
    <w:rsid w:val="007F1718"/>
    <w:rsid w:val="007F18E6"/>
    <w:rsid w:val="007F226B"/>
    <w:rsid w:val="007F41F0"/>
    <w:rsid w:val="007F64AB"/>
    <w:rsid w:val="00801146"/>
    <w:rsid w:val="008266D1"/>
    <w:rsid w:val="008324FE"/>
    <w:rsid w:val="0083334C"/>
    <w:rsid w:val="00833AE1"/>
    <w:rsid w:val="00834323"/>
    <w:rsid w:val="00841379"/>
    <w:rsid w:val="0085068C"/>
    <w:rsid w:val="00853556"/>
    <w:rsid w:val="008545FA"/>
    <w:rsid w:val="00863149"/>
    <w:rsid w:val="00881E8B"/>
    <w:rsid w:val="00891674"/>
    <w:rsid w:val="008940B1"/>
    <w:rsid w:val="008944FE"/>
    <w:rsid w:val="008A576A"/>
    <w:rsid w:val="008B0B7A"/>
    <w:rsid w:val="008B154E"/>
    <w:rsid w:val="008B7726"/>
    <w:rsid w:val="008C634F"/>
    <w:rsid w:val="008E0843"/>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4F3E"/>
    <w:rsid w:val="00953E8C"/>
    <w:rsid w:val="00954E6B"/>
    <w:rsid w:val="009569A2"/>
    <w:rsid w:val="009658D9"/>
    <w:rsid w:val="00982CE2"/>
    <w:rsid w:val="00985BBC"/>
    <w:rsid w:val="00994DC6"/>
    <w:rsid w:val="0099642C"/>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2B90"/>
    <w:rsid w:val="009F453D"/>
    <w:rsid w:val="00A02CA7"/>
    <w:rsid w:val="00A157F0"/>
    <w:rsid w:val="00A25E57"/>
    <w:rsid w:val="00A359B0"/>
    <w:rsid w:val="00A4464F"/>
    <w:rsid w:val="00A46E8D"/>
    <w:rsid w:val="00A478D2"/>
    <w:rsid w:val="00A51E9F"/>
    <w:rsid w:val="00A536D3"/>
    <w:rsid w:val="00A67624"/>
    <w:rsid w:val="00A719C8"/>
    <w:rsid w:val="00A754E0"/>
    <w:rsid w:val="00A84971"/>
    <w:rsid w:val="00A960CD"/>
    <w:rsid w:val="00AA10B3"/>
    <w:rsid w:val="00AA278C"/>
    <w:rsid w:val="00AA5D15"/>
    <w:rsid w:val="00AB3CFF"/>
    <w:rsid w:val="00AC2325"/>
    <w:rsid w:val="00AC3CE4"/>
    <w:rsid w:val="00AD713B"/>
    <w:rsid w:val="00AE5082"/>
    <w:rsid w:val="00AE6332"/>
    <w:rsid w:val="00AF0E8F"/>
    <w:rsid w:val="00AF3ACC"/>
    <w:rsid w:val="00AF539E"/>
    <w:rsid w:val="00B06748"/>
    <w:rsid w:val="00B10D4E"/>
    <w:rsid w:val="00B14B96"/>
    <w:rsid w:val="00B300AE"/>
    <w:rsid w:val="00B312ED"/>
    <w:rsid w:val="00B32830"/>
    <w:rsid w:val="00B33A83"/>
    <w:rsid w:val="00B42425"/>
    <w:rsid w:val="00B445BC"/>
    <w:rsid w:val="00B47081"/>
    <w:rsid w:val="00B4709A"/>
    <w:rsid w:val="00B47424"/>
    <w:rsid w:val="00B517FD"/>
    <w:rsid w:val="00B531AF"/>
    <w:rsid w:val="00B54479"/>
    <w:rsid w:val="00B65818"/>
    <w:rsid w:val="00B70A98"/>
    <w:rsid w:val="00B7298F"/>
    <w:rsid w:val="00B746B8"/>
    <w:rsid w:val="00B767A7"/>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1A35"/>
    <w:rsid w:val="00BF201B"/>
    <w:rsid w:val="00BF26DD"/>
    <w:rsid w:val="00BF363B"/>
    <w:rsid w:val="00BF3F02"/>
    <w:rsid w:val="00BF3F2A"/>
    <w:rsid w:val="00BF688E"/>
    <w:rsid w:val="00BF6B18"/>
    <w:rsid w:val="00C00BC7"/>
    <w:rsid w:val="00C04748"/>
    <w:rsid w:val="00C12969"/>
    <w:rsid w:val="00C13584"/>
    <w:rsid w:val="00C14A01"/>
    <w:rsid w:val="00C1690A"/>
    <w:rsid w:val="00C30C20"/>
    <w:rsid w:val="00C370CA"/>
    <w:rsid w:val="00C40E65"/>
    <w:rsid w:val="00C43A01"/>
    <w:rsid w:val="00C541CB"/>
    <w:rsid w:val="00C55166"/>
    <w:rsid w:val="00C714F0"/>
    <w:rsid w:val="00C76558"/>
    <w:rsid w:val="00C86FD4"/>
    <w:rsid w:val="00C96654"/>
    <w:rsid w:val="00CB2130"/>
    <w:rsid w:val="00CB3C11"/>
    <w:rsid w:val="00CB511C"/>
    <w:rsid w:val="00CD4D83"/>
    <w:rsid w:val="00CE18E8"/>
    <w:rsid w:val="00D126C6"/>
    <w:rsid w:val="00D1587C"/>
    <w:rsid w:val="00D21A6E"/>
    <w:rsid w:val="00D278D7"/>
    <w:rsid w:val="00D279B0"/>
    <w:rsid w:val="00D31D50"/>
    <w:rsid w:val="00D323F9"/>
    <w:rsid w:val="00D4211D"/>
    <w:rsid w:val="00D44B37"/>
    <w:rsid w:val="00D5054E"/>
    <w:rsid w:val="00D53633"/>
    <w:rsid w:val="00D56CB6"/>
    <w:rsid w:val="00D61AE7"/>
    <w:rsid w:val="00D634CC"/>
    <w:rsid w:val="00D73065"/>
    <w:rsid w:val="00D77EC9"/>
    <w:rsid w:val="00D81D23"/>
    <w:rsid w:val="00D9005C"/>
    <w:rsid w:val="00DA1746"/>
    <w:rsid w:val="00DA3EB4"/>
    <w:rsid w:val="00DA4334"/>
    <w:rsid w:val="00DA76FE"/>
    <w:rsid w:val="00DB1721"/>
    <w:rsid w:val="00DB5FD8"/>
    <w:rsid w:val="00DC26C4"/>
    <w:rsid w:val="00DD6316"/>
    <w:rsid w:val="00DE05FA"/>
    <w:rsid w:val="00DE421A"/>
    <w:rsid w:val="00DF12D7"/>
    <w:rsid w:val="00DF16E1"/>
    <w:rsid w:val="00E011DE"/>
    <w:rsid w:val="00E02A5F"/>
    <w:rsid w:val="00E02D46"/>
    <w:rsid w:val="00E12D6B"/>
    <w:rsid w:val="00E14FB9"/>
    <w:rsid w:val="00E157E7"/>
    <w:rsid w:val="00E27FD1"/>
    <w:rsid w:val="00E31BD3"/>
    <w:rsid w:val="00E33A94"/>
    <w:rsid w:val="00E34600"/>
    <w:rsid w:val="00E36CB4"/>
    <w:rsid w:val="00E52BFB"/>
    <w:rsid w:val="00E537C7"/>
    <w:rsid w:val="00E53CF5"/>
    <w:rsid w:val="00E56996"/>
    <w:rsid w:val="00E57C17"/>
    <w:rsid w:val="00E75074"/>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07138"/>
    <w:rsid w:val="00F14151"/>
    <w:rsid w:val="00F152B0"/>
    <w:rsid w:val="00F212D3"/>
    <w:rsid w:val="00F27EE2"/>
    <w:rsid w:val="00F30A36"/>
    <w:rsid w:val="00F34B4A"/>
    <w:rsid w:val="00F34DF9"/>
    <w:rsid w:val="00F36EA1"/>
    <w:rsid w:val="00F4455E"/>
    <w:rsid w:val="00F5231B"/>
    <w:rsid w:val="00F60B40"/>
    <w:rsid w:val="00F64CC8"/>
    <w:rsid w:val="00F8761F"/>
    <w:rsid w:val="00F94053"/>
    <w:rsid w:val="00F94356"/>
    <w:rsid w:val="00F952C7"/>
    <w:rsid w:val="00F96BF5"/>
    <w:rsid w:val="00FA1FA5"/>
    <w:rsid w:val="00FA2E72"/>
    <w:rsid w:val="00FA4F5F"/>
    <w:rsid w:val="00FA7B45"/>
    <w:rsid w:val="00FB0011"/>
    <w:rsid w:val="00FB608D"/>
    <w:rsid w:val="00FC0456"/>
    <w:rsid w:val="00FC3104"/>
    <w:rsid w:val="00FD1D4C"/>
    <w:rsid w:val="00FF44F0"/>
    <w:rsid w:val="00FF7A26"/>
    <w:rsid w:val="01653378"/>
    <w:rsid w:val="04545839"/>
    <w:rsid w:val="04F3430C"/>
    <w:rsid w:val="06BA0B56"/>
    <w:rsid w:val="09C76800"/>
    <w:rsid w:val="0B4D26CA"/>
    <w:rsid w:val="0D7C3718"/>
    <w:rsid w:val="0EC60711"/>
    <w:rsid w:val="0EDC7635"/>
    <w:rsid w:val="115B563A"/>
    <w:rsid w:val="148510D6"/>
    <w:rsid w:val="16A17C91"/>
    <w:rsid w:val="193034DC"/>
    <w:rsid w:val="20C722ED"/>
    <w:rsid w:val="216113F4"/>
    <w:rsid w:val="224B6541"/>
    <w:rsid w:val="23711F72"/>
    <w:rsid w:val="25F955C5"/>
    <w:rsid w:val="27342A22"/>
    <w:rsid w:val="283F22EF"/>
    <w:rsid w:val="2A1B0980"/>
    <w:rsid w:val="2C257666"/>
    <w:rsid w:val="2FC97C01"/>
    <w:rsid w:val="2FD04905"/>
    <w:rsid w:val="308F6267"/>
    <w:rsid w:val="31865542"/>
    <w:rsid w:val="321E2E3D"/>
    <w:rsid w:val="340376D1"/>
    <w:rsid w:val="34112F1E"/>
    <w:rsid w:val="376F7278"/>
    <w:rsid w:val="37B750D7"/>
    <w:rsid w:val="3AF92C81"/>
    <w:rsid w:val="425E014E"/>
    <w:rsid w:val="43990BAC"/>
    <w:rsid w:val="44E75DF0"/>
    <w:rsid w:val="46B375B8"/>
    <w:rsid w:val="47C44AC2"/>
    <w:rsid w:val="48342189"/>
    <w:rsid w:val="4D3D0508"/>
    <w:rsid w:val="4DE91A88"/>
    <w:rsid w:val="50BD5FEE"/>
    <w:rsid w:val="50DB05A3"/>
    <w:rsid w:val="51431846"/>
    <w:rsid w:val="55772440"/>
    <w:rsid w:val="5A6E4628"/>
    <w:rsid w:val="5C49212E"/>
    <w:rsid w:val="5CD849D1"/>
    <w:rsid w:val="5D140335"/>
    <w:rsid w:val="61006171"/>
    <w:rsid w:val="62CD3F75"/>
    <w:rsid w:val="62F51B60"/>
    <w:rsid w:val="637C4756"/>
    <w:rsid w:val="63A95F6C"/>
    <w:rsid w:val="66104FB2"/>
    <w:rsid w:val="6799719A"/>
    <w:rsid w:val="67B062B6"/>
    <w:rsid w:val="68CD1564"/>
    <w:rsid w:val="692B1946"/>
    <w:rsid w:val="6D617FD9"/>
    <w:rsid w:val="6F6D1C28"/>
    <w:rsid w:val="70FF55D7"/>
    <w:rsid w:val="74E53E85"/>
    <w:rsid w:val="7612260D"/>
    <w:rsid w:val="77004100"/>
    <w:rsid w:val="77B16134"/>
    <w:rsid w:val="7B782865"/>
    <w:rsid w:val="7E2E0B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5"/>
    <w:semiHidden/>
    <w:unhideWhenUsed/>
    <w:qFormat/>
    <w:uiPriority w:val="99"/>
  </w:style>
  <w:style w:type="paragraph" w:styleId="8">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9">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0">
    <w:name w:val="Balloon Text"/>
    <w:basedOn w:val="1"/>
    <w:link w:val="44"/>
    <w:semiHidden/>
    <w:unhideWhenUsed/>
    <w:qFormat/>
    <w:uiPriority w:val="99"/>
    <w:pPr>
      <w:spacing w:after="0"/>
    </w:pPr>
    <w:rPr>
      <w:sz w:val="18"/>
      <w:szCs w:val="18"/>
    </w:rPr>
  </w:style>
  <w:style w:type="paragraph" w:styleId="11">
    <w:name w:val="footer"/>
    <w:basedOn w:val="1"/>
    <w:link w:val="23"/>
    <w:unhideWhenUsed/>
    <w:qFormat/>
    <w:uiPriority w:val="99"/>
    <w:pPr>
      <w:tabs>
        <w:tab w:val="center" w:pos="4153"/>
        <w:tab w:val="right" w:pos="8306"/>
      </w:tabs>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5">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paragraph" w:styleId="16">
    <w:name w:val="annotation subject"/>
    <w:basedOn w:val="7"/>
    <w:next w:val="7"/>
    <w:link w:val="46"/>
    <w:semiHidden/>
    <w:unhideWhenUsed/>
    <w:qFormat/>
    <w:uiPriority w:val="99"/>
    <w:rPr>
      <w:b/>
      <w:bCs/>
    </w:r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basedOn w:val="18"/>
    <w:semiHidden/>
    <w:unhideWhenUsed/>
    <w:qFormat/>
    <w:uiPriority w:val="99"/>
    <w:rPr>
      <w:sz w:val="21"/>
      <w:szCs w:val="21"/>
    </w:rPr>
  </w:style>
  <w:style w:type="character" w:customStyle="1" w:styleId="22">
    <w:name w:val="页眉 Char"/>
    <w:basedOn w:val="18"/>
    <w:link w:val="12"/>
    <w:qFormat/>
    <w:uiPriority w:val="99"/>
    <w:rPr>
      <w:rFonts w:ascii="Tahoma" w:hAnsi="Tahoma"/>
      <w:sz w:val="18"/>
      <w:szCs w:val="18"/>
    </w:rPr>
  </w:style>
  <w:style w:type="character" w:customStyle="1" w:styleId="23">
    <w:name w:val="页脚 Char"/>
    <w:basedOn w:val="18"/>
    <w:link w:val="11"/>
    <w:qFormat/>
    <w:uiPriority w:val="99"/>
    <w:rPr>
      <w:rFonts w:ascii="Tahoma" w:hAnsi="Tahoma"/>
      <w:sz w:val="18"/>
      <w:szCs w:val="18"/>
    </w:rPr>
  </w:style>
  <w:style w:type="character" w:customStyle="1" w:styleId="24">
    <w:name w:val="标题 1 Char"/>
    <w:basedOn w:val="18"/>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8"/>
    <w:link w:val="4"/>
    <w:qFormat/>
    <w:uiPriority w:val="0"/>
    <w:rPr>
      <w:rFonts w:ascii="Times New Roman" w:hAnsi="Times New Roman" w:eastAsia="宋体" w:cs="Times New Roman"/>
      <w:b/>
      <w:bCs/>
      <w:kern w:val="2"/>
      <w:sz w:val="32"/>
      <w:szCs w:val="32"/>
    </w:rPr>
  </w:style>
  <w:style w:type="character" w:customStyle="1" w:styleId="28">
    <w:name w:val="标题 4 Char"/>
    <w:basedOn w:val="18"/>
    <w:link w:val="6"/>
    <w:qFormat/>
    <w:uiPriority w:val="9"/>
    <w:rPr>
      <w:rFonts w:ascii="Arial" w:hAnsi="Arial" w:eastAsia="黑体" w:cs="Arial"/>
      <w:b/>
      <w:bCs/>
      <w:kern w:val="2"/>
      <w:sz w:val="28"/>
      <w:szCs w:val="28"/>
    </w:rPr>
  </w:style>
  <w:style w:type="character" w:customStyle="1" w:styleId="29">
    <w:name w:val="标题 Char1"/>
    <w:basedOn w:val="18"/>
    <w:link w:val="15"/>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8"/>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9"/>
    <w:qFormat/>
    <w:uiPriority w:val="0"/>
    <w:rPr>
      <w:rFonts w:ascii="宋体" w:hAnsi="Courier New" w:cs="Courier New"/>
      <w:kern w:val="2"/>
      <w:sz w:val="21"/>
      <w:szCs w:val="21"/>
    </w:rPr>
  </w:style>
  <w:style w:type="character" w:customStyle="1" w:styleId="37">
    <w:name w:val="纯文本 Char1"/>
    <w:basedOn w:val="18"/>
    <w:semiHidden/>
    <w:qFormat/>
    <w:uiPriority w:val="99"/>
    <w:rPr>
      <w:rFonts w:ascii="宋体" w:hAnsi="Courier New" w:eastAsia="宋体" w:cs="Courier New"/>
      <w:sz w:val="21"/>
      <w:szCs w:val="21"/>
    </w:rPr>
  </w:style>
  <w:style w:type="character" w:customStyle="1" w:styleId="38">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8"/>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8"/>
    <w:semiHidden/>
    <w:qFormat/>
    <w:uiPriority w:val="99"/>
    <w:rPr>
      <w:rFonts w:ascii="Tahoma" w:hAnsi="Tahoma"/>
    </w:rPr>
  </w:style>
  <w:style w:type="character" w:customStyle="1" w:styleId="44">
    <w:name w:val="批注框文本 Char"/>
    <w:basedOn w:val="18"/>
    <w:link w:val="10"/>
    <w:semiHidden/>
    <w:qFormat/>
    <w:uiPriority w:val="99"/>
    <w:rPr>
      <w:rFonts w:ascii="Tahoma" w:hAnsi="Tahoma"/>
      <w:sz w:val="18"/>
      <w:szCs w:val="18"/>
    </w:rPr>
  </w:style>
  <w:style w:type="character" w:customStyle="1" w:styleId="45">
    <w:name w:val="批注文字 Char"/>
    <w:basedOn w:val="18"/>
    <w:link w:val="7"/>
    <w:semiHidden/>
    <w:qFormat/>
    <w:uiPriority w:val="99"/>
    <w:rPr>
      <w:rFonts w:ascii="Tahoma" w:hAnsi="Tahoma"/>
    </w:rPr>
  </w:style>
  <w:style w:type="character" w:customStyle="1" w:styleId="46">
    <w:name w:val="批注主题 Char"/>
    <w:basedOn w:val="45"/>
    <w:link w:val="16"/>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580248-06D3-4ABB-80BD-A907F82440B3}">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35</Pages>
  <Words>2264</Words>
  <Characters>12906</Characters>
  <Lines>107</Lines>
  <Paragraphs>30</Paragraphs>
  <TotalTime>10</TotalTime>
  <ScaleCrop>false</ScaleCrop>
  <LinksUpToDate>false</LinksUpToDate>
  <CharactersWithSpaces>15140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2019-07-04T06:17:00Z</dcterms:created>
  <dc:creator>chenle</dc:creator>
  <cp:lastModifiedBy>lenovo</cp:lastModifiedBy>
  <dcterms:modified xsi:type="dcterms:W3CDTF">2019-07-09T06:23:35Z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