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39C" w:rsidRDefault="00F8039C">
      <w:pPr>
        <w:jc w:val="center"/>
        <w:rPr>
          <w:rFonts w:ascii="Calibri" w:hAnsi="Calibri" w:hint="eastAsia"/>
          <w:sz w:val="56"/>
          <w:szCs w:val="36"/>
        </w:rPr>
      </w:pPr>
    </w:p>
    <w:p w:rsidR="00F8039C" w:rsidRDefault="00F8039C">
      <w:pPr>
        <w:jc w:val="center"/>
        <w:rPr>
          <w:rFonts w:ascii="Calibri" w:hAnsi="Calibri"/>
          <w:sz w:val="56"/>
          <w:szCs w:val="36"/>
        </w:rPr>
      </w:pPr>
    </w:p>
    <w:p w:rsidR="00F8039C" w:rsidRDefault="00F8039C">
      <w:pPr>
        <w:jc w:val="center"/>
        <w:rPr>
          <w:rFonts w:ascii="Calibri" w:hAnsi="Calibri"/>
          <w:sz w:val="56"/>
          <w:szCs w:val="36"/>
        </w:rPr>
      </w:pPr>
    </w:p>
    <w:p w:rsidR="00F8039C" w:rsidRDefault="000317BF">
      <w:pPr>
        <w:jc w:val="center"/>
        <w:rPr>
          <w:rFonts w:ascii="Calibri" w:hAnsi="Calibri"/>
          <w:sz w:val="56"/>
          <w:szCs w:val="36"/>
        </w:rPr>
      </w:pPr>
      <w:r>
        <w:rPr>
          <w:rFonts w:ascii="Calibri" w:hAnsi="Calibri" w:hint="eastAsia"/>
          <w:sz w:val="56"/>
          <w:szCs w:val="36"/>
        </w:rPr>
        <w:t>南京医科大学图书馆</w:t>
      </w:r>
    </w:p>
    <w:p w:rsidR="00F8039C" w:rsidRDefault="000317BF">
      <w:pPr>
        <w:jc w:val="center"/>
        <w:rPr>
          <w:rFonts w:ascii="Calibri" w:hAnsi="Calibri"/>
          <w:sz w:val="48"/>
          <w:szCs w:val="36"/>
        </w:rPr>
      </w:pPr>
      <w:bookmarkStart w:id="0" w:name="OLE_LINK1"/>
      <w:bookmarkStart w:id="1" w:name="OLE_LINK2"/>
      <w:r>
        <w:rPr>
          <w:rFonts w:ascii="Calibri" w:hAnsi="Calibri" w:hint="eastAsia"/>
          <w:sz w:val="48"/>
          <w:szCs w:val="36"/>
        </w:rPr>
        <w:t>存储与数据备份项目</w:t>
      </w:r>
    </w:p>
    <w:bookmarkEnd w:id="0"/>
    <w:bookmarkEnd w:id="1"/>
    <w:p w:rsidR="00F8039C" w:rsidRDefault="00F8039C">
      <w:pPr>
        <w:jc w:val="center"/>
        <w:rPr>
          <w:rFonts w:ascii="Calibri" w:hAnsi="Calibri"/>
          <w:sz w:val="40"/>
        </w:rPr>
      </w:pPr>
    </w:p>
    <w:p w:rsidR="00F8039C" w:rsidRDefault="00F8039C">
      <w:pPr>
        <w:jc w:val="center"/>
        <w:rPr>
          <w:rFonts w:ascii="Calibri" w:hAnsi="Calibri"/>
          <w:sz w:val="40"/>
        </w:rPr>
      </w:pPr>
    </w:p>
    <w:p w:rsidR="00F8039C" w:rsidRDefault="000317BF">
      <w:pPr>
        <w:jc w:val="center"/>
        <w:rPr>
          <w:rFonts w:ascii="Calibri" w:hAnsi="Calibri"/>
          <w:sz w:val="52"/>
        </w:rPr>
      </w:pPr>
      <w:r>
        <w:rPr>
          <w:rFonts w:ascii="Calibri" w:hAnsi="Calibri" w:hint="eastAsia"/>
          <w:sz w:val="52"/>
        </w:rPr>
        <w:t>招</w:t>
      </w:r>
    </w:p>
    <w:p w:rsidR="00F8039C" w:rsidRDefault="000317BF">
      <w:pPr>
        <w:jc w:val="center"/>
        <w:rPr>
          <w:rFonts w:ascii="Calibri" w:hAnsi="Calibri"/>
          <w:sz w:val="52"/>
        </w:rPr>
      </w:pPr>
      <w:r>
        <w:rPr>
          <w:rFonts w:ascii="Calibri" w:hAnsi="Calibri" w:hint="eastAsia"/>
          <w:sz w:val="52"/>
        </w:rPr>
        <w:t>标</w:t>
      </w:r>
    </w:p>
    <w:p w:rsidR="00F8039C" w:rsidRDefault="000317BF">
      <w:pPr>
        <w:jc w:val="center"/>
        <w:rPr>
          <w:rFonts w:ascii="Calibri" w:hAnsi="Calibri"/>
          <w:sz w:val="52"/>
        </w:rPr>
      </w:pPr>
      <w:r>
        <w:rPr>
          <w:rFonts w:ascii="Calibri" w:hAnsi="Calibri" w:hint="eastAsia"/>
          <w:sz w:val="52"/>
        </w:rPr>
        <w:t>文</w:t>
      </w:r>
    </w:p>
    <w:p w:rsidR="00F8039C" w:rsidRDefault="000317BF">
      <w:pPr>
        <w:jc w:val="center"/>
        <w:rPr>
          <w:rFonts w:ascii="Calibri" w:hAnsi="Calibri"/>
          <w:sz w:val="52"/>
        </w:rPr>
      </w:pPr>
      <w:r>
        <w:rPr>
          <w:rFonts w:ascii="Calibri" w:hAnsi="Calibri" w:hint="eastAsia"/>
          <w:sz w:val="52"/>
        </w:rPr>
        <w:t>件</w:t>
      </w:r>
    </w:p>
    <w:p w:rsidR="00F8039C" w:rsidRDefault="00F8039C">
      <w:pPr>
        <w:rPr>
          <w:rFonts w:ascii="Calibri" w:hAnsi="Calibri"/>
        </w:rPr>
      </w:pPr>
    </w:p>
    <w:p w:rsidR="00F8039C" w:rsidRDefault="00F8039C">
      <w:pPr>
        <w:rPr>
          <w:rFonts w:ascii="Calibri" w:hAnsi="Calibri"/>
        </w:rPr>
      </w:pPr>
    </w:p>
    <w:p w:rsidR="00F8039C" w:rsidRDefault="00F8039C">
      <w:pPr>
        <w:rPr>
          <w:rFonts w:ascii="Calibri" w:hAnsi="Calibri"/>
        </w:rPr>
      </w:pPr>
    </w:p>
    <w:p w:rsidR="00F8039C" w:rsidRDefault="00F8039C">
      <w:pPr>
        <w:rPr>
          <w:rFonts w:ascii="Calibri" w:hAnsi="Calibri"/>
        </w:rPr>
      </w:pPr>
    </w:p>
    <w:p w:rsidR="00F8039C" w:rsidRDefault="00F8039C">
      <w:pPr>
        <w:rPr>
          <w:rFonts w:ascii="Calibri" w:hAnsi="Calibri"/>
        </w:rPr>
      </w:pPr>
    </w:p>
    <w:p w:rsidR="00F8039C" w:rsidRDefault="00F8039C">
      <w:pPr>
        <w:rPr>
          <w:rFonts w:ascii="Calibri" w:hAnsi="Calibri"/>
        </w:rPr>
      </w:pPr>
    </w:p>
    <w:p w:rsidR="00F8039C" w:rsidRDefault="00F8039C">
      <w:pPr>
        <w:rPr>
          <w:rFonts w:ascii="Calibri" w:hAnsi="Calibri"/>
        </w:rPr>
      </w:pPr>
    </w:p>
    <w:p w:rsidR="00F8039C" w:rsidRDefault="00F8039C">
      <w:pPr>
        <w:rPr>
          <w:rFonts w:ascii="Calibri" w:hAnsi="Calibri"/>
        </w:rPr>
      </w:pPr>
    </w:p>
    <w:p w:rsidR="00F8039C" w:rsidRDefault="00F8039C">
      <w:pPr>
        <w:rPr>
          <w:rFonts w:ascii="Calibri" w:hAnsi="Calibri"/>
        </w:rPr>
      </w:pPr>
    </w:p>
    <w:p w:rsidR="00F8039C" w:rsidRDefault="000317BF">
      <w:pPr>
        <w:jc w:val="center"/>
        <w:rPr>
          <w:rFonts w:ascii="Calibri" w:hAnsi="Calibri"/>
          <w:sz w:val="36"/>
        </w:rPr>
      </w:pPr>
      <w:r>
        <w:rPr>
          <w:rFonts w:ascii="Calibri" w:hAnsi="Calibri" w:hint="eastAsia"/>
          <w:sz w:val="36"/>
        </w:rPr>
        <w:t>南京医科大学</w:t>
      </w:r>
    </w:p>
    <w:p w:rsidR="00F8039C" w:rsidRDefault="000317BF">
      <w:pPr>
        <w:jc w:val="center"/>
        <w:rPr>
          <w:rFonts w:ascii="Calibri" w:hAnsi="Calibri"/>
          <w:sz w:val="36"/>
        </w:rPr>
      </w:pPr>
      <w:r>
        <w:rPr>
          <w:rFonts w:ascii="Calibri" w:hAnsi="Calibri"/>
          <w:sz w:val="36"/>
        </w:rPr>
        <w:t>2014</w:t>
      </w:r>
      <w:r>
        <w:rPr>
          <w:rFonts w:ascii="Calibri" w:hAnsi="Calibri" w:hint="eastAsia"/>
          <w:sz w:val="36"/>
        </w:rPr>
        <w:t>年</w:t>
      </w:r>
      <w:r>
        <w:rPr>
          <w:rFonts w:ascii="Calibri" w:hAnsi="Calibri"/>
          <w:sz w:val="36"/>
        </w:rPr>
        <w:t>6</w:t>
      </w:r>
      <w:r>
        <w:rPr>
          <w:rFonts w:ascii="Calibri" w:hAnsi="Calibri" w:hint="eastAsia"/>
          <w:sz w:val="36"/>
        </w:rPr>
        <w:t>月</w:t>
      </w:r>
      <w:r>
        <w:rPr>
          <w:rFonts w:ascii="Calibri" w:hAnsi="Calibri"/>
          <w:sz w:val="36"/>
        </w:rPr>
        <w:t>3</w:t>
      </w:r>
      <w:r>
        <w:rPr>
          <w:rFonts w:ascii="Calibri" w:hAnsi="Calibri" w:hint="eastAsia"/>
          <w:sz w:val="36"/>
        </w:rPr>
        <w:t>日</w:t>
      </w:r>
    </w:p>
    <w:p w:rsidR="00F8039C" w:rsidRDefault="000317BF">
      <w:pPr>
        <w:widowControl/>
        <w:jc w:val="left"/>
        <w:rPr>
          <w:rFonts w:ascii="Calibri" w:hAnsi="Calibri"/>
        </w:rPr>
      </w:pPr>
      <w:r>
        <w:rPr>
          <w:rFonts w:ascii="Calibri" w:hAnsi="Calibri"/>
        </w:rPr>
        <w:br w:type="page"/>
      </w:r>
    </w:p>
    <w:p w:rsidR="00F8039C" w:rsidRDefault="000317BF">
      <w:pPr>
        <w:pStyle w:val="1"/>
        <w:rPr>
          <w:rFonts w:ascii="Calibri" w:hAnsi="Calibri"/>
        </w:rPr>
      </w:pPr>
      <w:r>
        <w:rPr>
          <w:rFonts w:ascii="Calibri" w:hAnsi="Calibri" w:hint="eastAsia"/>
        </w:rPr>
        <w:t>一、投标邀请函</w:t>
      </w:r>
    </w:p>
    <w:p w:rsidR="00F8039C" w:rsidRDefault="000317BF">
      <w:pPr>
        <w:spacing w:line="360" w:lineRule="auto"/>
        <w:ind w:firstLineChars="200" w:firstLine="480"/>
        <w:rPr>
          <w:rFonts w:ascii="Calibri" w:hAnsi="Calibri"/>
          <w:sz w:val="24"/>
        </w:rPr>
      </w:pPr>
      <w:r>
        <w:rPr>
          <w:rFonts w:ascii="Calibri" w:hAnsi="Calibri" w:hint="eastAsia"/>
          <w:sz w:val="24"/>
        </w:rPr>
        <w:t>南京医科大学图书馆决定就存储与数据备份项目进行招标采购，具体事项公布如下。诚邀有资质和有实力的单位参与我校图书馆存储与数据备份项目的投标。</w:t>
      </w:r>
    </w:p>
    <w:p w:rsidR="00F8039C" w:rsidRDefault="00F8039C">
      <w:pPr>
        <w:spacing w:line="360" w:lineRule="auto"/>
        <w:ind w:firstLineChars="200" w:firstLine="480"/>
        <w:rPr>
          <w:rFonts w:ascii="Calibri" w:hAnsi="Calibri"/>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7597"/>
      </w:tblGrid>
      <w:tr w:rsidR="00F8039C">
        <w:tblPrEx>
          <w:tblCellMar>
            <w:top w:w="0" w:type="dxa"/>
            <w:bottom w:w="0" w:type="dxa"/>
          </w:tblCellMar>
        </w:tblPrEx>
        <w:trPr>
          <w:trHeight w:val="465"/>
        </w:trPr>
        <w:tc>
          <w:tcPr>
            <w:tcW w:w="925" w:type="dxa"/>
            <w:vAlign w:val="center"/>
          </w:tcPr>
          <w:p w:rsidR="00F8039C" w:rsidRDefault="000317BF">
            <w:pPr>
              <w:spacing w:line="580" w:lineRule="exact"/>
              <w:jc w:val="center"/>
              <w:rPr>
                <w:rFonts w:ascii="宋体"/>
                <w:b/>
                <w:szCs w:val="21"/>
              </w:rPr>
            </w:pPr>
            <w:r>
              <w:rPr>
                <w:rFonts w:ascii="宋体" w:hAnsi="宋体" w:hint="eastAsia"/>
                <w:b/>
                <w:szCs w:val="21"/>
              </w:rPr>
              <w:t>序号</w:t>
            </w:r>
          </w:p>
        </w:tc>
        <w:tc>
          <w:tcPr>
            <w:tcW w:w="7597" w:type="dxa"/>
            <w:vAlign w:val="center"/>
          </w:tcPr>
          <w:p w:rsidR="00F8039C" w:rsidRDefault="000317BF">
            <w:pPr>
              <w:spacing w:line="580" w:lineRule="exact"/>
              <w:ind w:firstLineChars="950" w:firstLine="2003"/>
              <w:rPr>
                <w:rFonts w:ascii="宋体"/>
                <w:b/>
                <w:szCs w:val="21"/>
              </w:rPr>
            </w:pP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F8039C">
        <w:tblPrEx>
          <w:tblCellMar>
            <w:top w:w="0" w:type="dxa"/>
            <w:bottom w:w="0" w:type="dxa"/>
          </w:tblCellMar>
        </w:tblPrEx>
        <w:trPr>
          <w:trHeight w:val="433"/>
        </w:trPr>
        <w:tc>
          <w:tcPr>
            <w:tcW w:w="925" w:type="dxa"/>
            <w:vAlign w:val="center"/>
          </w:tcPr>
          <w:p w:rsidR="00F8039C" w:rsidRDefault="000317BF">
            <w:pPr>
              <w:spacing w:line="580" w:lineRule="exact"/>
              <w:jc w:val="center"/>
              <w:rPr>
                <w:rFonts w:ascii="宋体"/>
                <w:b/>
                <w:szCs w:val="21"/>
              </w:rPr>
            </w:pPr>
            <w:r>
              <w:rPr>
                <w:rFonts w:ascii="宋体" w:hAnsi="宋体"/>
                <w:b/>
                <w:szCs w:val="21"/>
              </w:rPr>
              <w:t>1</w:t>
            </w:r>
          </w:p>
        </w:tc>
        <w:tc>
          <w:tcPr>
            <w:tcW w:w="7597" w:type="dxa"/>
          </w:tcPr>
          <w:p w:rsidR="00F8039C" w:rsidRDefault="000317BF">
            <w:pPr>
              <w:spacing w:line="580" w:lineRule="exact"/>
              <w:rPr>
                <w:szCs w:val="21"/>
              </w:rPr>
            </w:pPr>
            <w:r>
              <w:rPr>
                <w:rFonts w:ascii="宋体" w:hAnsi="宋体" w:hint="eastAsia"/>
                <w:szCs w:val="21"/>
              </w:rPr>
              <w:t>项目名称：存储与数据备份设备各一套</w:t>
            </w:r>
          </w:p>
        </w:tc>
      </w:tr>
      <w:tr w:rsidR="00F8039C">
        <w:tblPrEx>
          <w:tblCellMar>
            <w:top w:w="0" w:type="dxa"/>
            <w:bottom w:w="0" w:type="dxa"/>
          </w:tblCellMar>
        </w:tblPrEx>
        <w:trPr>
          <w:trHeight w:val="770"/>
        </w:trPr>
        <w:tc>
          <w:tcPr>
            <w:tcW w:w="925" w:type="dxa"/>
            <w:vAlign w:val="center"/>
          </w:tcPr>
          <w:p w:rsidR="00F8039C" w:rsidRDefault="000317BF">
            <w:pPr>
              <w:spacing w:line="580" w:lineRule="exact"/>
              <w:jc w:val="center"/>
              <w:rPr>
                <w:rFonts w:ascii="宋体"/>
                <w:b/>
                <w:szCs w:val="21"/>
              </w:rPr>
            </w:pPr>
            <w:r>
              <w:rPr>
                <w:rFonts w:ascii="宋体" w:hAnsi="宋体"/>
                <w:b/>
                <w:szCs w:val="21"/>
              </w:rPr>
              <w:t>2</w:t>
            </w:r>
          </w:p>
        </w:tc>
        <w:tc>
          <w:tcPr>
            <w:tcW w:w="7597" w:type="dxa"/>
          </w:tcPr>
          <w:p w:rsidR="00F8039C" w:rsidRDefault="000317BF">
            <w:pPr>
              <w:spacing w:line="580" w:lineRule="exact"/>
              <w:rPr>
                <w:rFonts w:ascii="宋体"/>
                <w:szCs w:val="21"/>
              </w:rPr>
            </w:pPr>
            <w:r>
              <w:rPr>
                <w:rFonts w:ascii="宋体" w:hAnsi="宋体" w:hint="eastAsia"/>
                <w:szCs w:val="21"/>
              </w:rPr>
              <w:t>招标人：南京医科大学</w:t>
            </w:r>
          </w:p>
        </w:tc>
      </w:tr>
      <w:tr w:rsidR="00F8039C">
        <w:tblPrEx>
          <w:tblCellMar>
            <w:top w:w="0" w:type="dxa"/>
            <w:bottom w:w="0" w:type="dxa"/>
          </w:tblCellMar>
        </w:tblPrEx>
        <w:trPr>
          <w:trHeight w:val="1080"/>
        </w:trPr>
        <w:tc>
          <w:tcPr>
            <w:tcW w:w="925" w:type="dxa"/>
            <w:vAlign w:val="center"/>
          </w:tcPr>
          <w:p w:rsidR="00F8039C" w:rsidRDefault="000317BF">
            <w:pPr>
              <w:spacing w:line="580" w:lineRule="exact"/>
              <w:jc w:val="center"/>
              <w:rPr>
                <w:rFonts w:ascii="宋体"/>
                <w:b/>
                <w:szCs w:val="21"/>
              </w:rPr>
            </w:pPr>
            <w:r>
              <w:rPr>
                <w:rFonts w:ascii="宋体" w:hAnsi="宋体"/>
                <w:b/>
                <w:szCs w:val="21"/>
              </w:rPr>
              <w:t>3</w:t>
            </w:r>
          </w:p>
        </w:tc>
        <w:tc>
          <w:tcPr>
            <w:tcW w:w="7597" w:type="dxa"/>
          </w:tcPr>
          <w:p w:rsidR="00F8039C" w:rsidRDefault="000317BF">
            <w:pPr>
              <w:spacing w:line="580" w:lineRule="exact"/>
              <w:rPr>
                <w:rFonts w:ascii="宋体"/>
                <w:szCs w:val="21"/>
              </w:rPr>
            </w:pPr>
            <w:r>
              <w:rPr>
                <w:rFonts w:ascii="宋体" w:hAnsi="宋体" w:hint="eastAsia"/>
                <w:szCs w:val="21"/>
              </w:rPr>
              <w:t>投标截止时间：</w:t>
            </w:r>
            <w:r>
              <w:rPr>
                <w:rFonts w:ascii="宋体" w:hAnsi="宋体"/>
                <w:szCs w:val="21"/>
              </w:rPr>
              <w:t>2014</w:t>
            </w:r>
            <w:r>
              <w:rPr>
                <w:rFonts w:ascii="宋体" w:hAnsi="宋体" w:hint="eastAsia"/>
                <w:szCs w:val="21"/>
              </w:rPr>
              <w:t>年</w:t>
            </w:r>
            <w:r>
              <w:rPr>
                <w:rFonts w:ascii="宋体" w:hAnsi="宋体"/>
                <w:szCs w:val="21"/>
                <w:u w:val="single"/>
              </w:rPr>
              <w:t xml:space="preserve"> 6  </w:t>
            </w:r>
            <w:r>
              <w:rPr>
                <w:rFonts w:ascii="宋体" w:hAnsi="宋体" w:hint="eastAsia"/>
                <w:szCs w:val="21"/>
              </w:rPr>
              <w:t>月</w:t>
            </w:r>
            <w:r>
              <w:rPr>
                <w:rFonts w:ascii="宋体" w:hAnsi="宋体"/>
                <w:szCs w:val="21"/>
                <w:u w:val="single"/>
              </w:rPr>
              <w:t xml:space="preserve"> 11  </w:t>
            </w:r>
            <w:r>
              <w:rPr>
                <w:rFonts w:ascii="宋体" w:hAnsi="宋体" w:hint="eastAsia"/>
                <w:szCs w:val="21"/>
              </w:rPr>
              <w:t>日下午</w:t>
            </w:r>
            <w:r>
              <w:rPr>
                <w:rFonts w:ascii="宋体" w:hAnsi="宋体"/>
                <w:szCs w:val="21"/>
              </w:rPr>
              <w:t>17:00</w:t>
            </w:r>
            <w:r>
              <w:rPr>
                <w:rFonts w:ascii="宋体" w:hAnsi="宋体" w:hint="eastAsia"/>
                <w:szCs w:val="21"/>
              </w:rPr>
              <w:t>。投标人应在规定的时间内将投标文件密封加盖公章后送达南京医科大学五台校区图书馆三</w:t>
            </w:r>
            <w:proofErr w:type="gramStart"/>
            <w:r>
              <w:rPr>
                <w:rFonts w:ascii="宋体" w:hAnsi="宋体" w:hint="eastAsia"/>
                <w:szCs w:val="21"/>
              </w:rPr>
              <w:t>楼系统</w:t>
            </w:r>
            <w:proofErr w:type="gramEnd"/>
            <w:r>
              <w:rPr>
                <w:rFonts w:ascii="宋体" w:hAnsi="宋体" w:hint="eastAsia"/>
                <w:szCs w:val="21"/>
              </w:rPr>
              <w:t>部。超过投标截止时间，恕不接标。</w:t>
            </w:r>
          </w:p>
          <w:p w:rsidR="00F8039C" w:rsidRDefault="000317BF">
            <w:pPr>
              <w:spacing w:line="580" w:lineRule="exact"/>
              <w:rPr>
                <w:rFonts w:ascii="宋体"/>
                <w:szCs w:val="21"/>
              </w:rPr>
            </w:pPr>
            <w:r>
              <w:rPr>
                <w:rFonts w:ascii="宋体" w:hAnsi="宋体" w:hint="eastAsia"/>
                <w:szCs w:val="21"/>
              </w:rPr>
              <w:t>联系人：王老师。</w:t>
            </w:r>
          </w:p>
          <w:p w:rsidR="00F8039C" w:rsidRDefault="000317BF">
            <w:pPr>
              <w:spacing w:line="580" w:lineRule="exact"/>
              <w:rPr>
                <w:rFonts w:ascii="宋体"/>
                <w:szCs w:val="21"/>
              </w:rPr>
            </w:pPr>
            <w:r>
              <w:rPr>
                <w:rFonts w:ascii="宋体" w:hAnsi="宋体" w:hint="eastAsia"/>
                <w:szCs w:val="21"/>
              </w:rPr>
              <w:t>联系电话：</w:t>
            </w:r>
            <w:r>
              <w:rPr>
                <w:rFonts w:ascii="宋体" w:hAnsi="宋体"/>
                <w:szCs w:val="21"/>
              </w:rPr>
              <w:t>025-86863102</w:t>
            </w:r>
            <w:r>
              <w:rPr>
                <w:rFonts w:ascii="宋体" w:hAnsi="宋体" w:hint="eastAsia"/>
                <w:szCs w:val="21"/>
              </w:rPr>
              <w:t>。</w:t>
            </w:r>
          </w:p>
        </w:tc>
      </w:tr>
      <w:tr w:rsidR="00F8039C">
        <w:tblPrEx>
          <w:tblCellMar>
            <w:top w:w="0" w:type="dxa"/>
            <w:bottom w:w="0" w:type="dxa"/>
          </w:tblCellMar>
        </w:tblPrEx>
        <w:trPr>
          <w:trHeight w:val="645"/>
        </w:trPr>
        <w:tc>
          <w:tcPr>
            <w:tcW w:w="925" w:type="dxa"/>
            <w:vAlign w:val="center"/>
          </w:tcPr>
          <w:p w:rsidR="00F8039C" w:rsidRDefault="000317BF">
            <w:pPr>
              <w:spacing w:line="580" w:lineRule="exact"/>
              <w:jc w:val="center"/>
              <w:rPr>
                <w:rFonts w:ascii="宋体"/>
                <w:b/>
                <w:szCs w:val="21"/>
              </w:rPr>
            </w:pPr>
            <w:r>
              <w:rPr>
                <w:rFonts w:ascii="宋体" w:hAnsi="宋体"/>
                <w:b/>
                <w:szCs w:val="21"/>
              </w:rPr>
              <w:t>4</w:t>
            </w:r>
          </w:p>
        </w:tc>
        <w:tc>
          <w:tcPr>
            <w:tcW w:w="7597" w:type="dxa"/>
          </w:tcPr>
          <w:p w:rsidR="00F8039C" w:rsidRDefault="000317BF">
            <w:pPr>
              <w:spacing w:line="580" w:lineRule="exact"/>
              <w:rPr>
                <w:rFonts w:ascii="宋体"/>
                <w:b/>
                <w:szCs w:val="21"/>
              </w:rPr>
            </w:pPr>
            <w:r>
              <w:rPr>
                <w:rFonts w:ascii="宋体" w:hAnsi="宋体" w:hint="eastAsia"/>
                <w:szCs w:val="21"/>
              </w:rPr>
              <w:t>投标书份数：正本一份、副本三份。标书中应有投标人公司简介、资讯、资质、公司业绩说明。标书中应有总体优惠条件、服务承诺。</w:t>
            </w:r>
          </w:p>
        </w:tc>
      </w:tr>
      <w:tr w:rsidR="00F8039C">
        <w:tblPrEx>
          <w:tblCellMar>
            <w:top w:w="0" w:type="dxa"/>
            <w:bottom w:w="0" w:type="dxa"/>
          </w:tblCellMar>
        </w:tblPrEx>
        <w:trPr>
          <w:trHeight w:val="645"/>
        </w:trPr>
        <w:tc>
          <w:tcPr>
            <w:tcW w:w="925" w:type="dxa"/>
            <w:vAlign w:val="center"/>
          </w:tcPr>
          <w:p w:rsidR="00F8039C" w:rsidRDefault="000317BF">
            <w:pPr>
              <w:spacing w:line="580" w:lineRule="exact"/>
              <w:jc w:val="center"/>
              <w:rPr>
                <w:rFonts w:ascii="宋体"/>
                <w:b/>
                <w:szCs w:val="21"/>
              </w:rPr>
            </w:pPr>
            <w:r>
              <w:rPr>
                <w:rFonts w:ascii="宋体" w:hAnsi="宋体"/>
                <w:b/>
                <w:szCs w:val="21"/>
              </w:rPr>
              <w:t>5</w:t>
            </w:r>
          </w:p>
        </w:tc>
        <w:tc>
          <w:tcPr>
            <w:tcW w:w="7597" w:type="dxa"/>
          </w:tcPr>
          <w:p w:rsidR="00F8039C" w:rsidRDefault="000317BF">
            <w:pPr>
              <w:spacing w:line="580" w:lineRule="exact"/>
              <w:rPr>
                <w:rFonts w:ascii="宋体"/>
                <w:b/>
                <w:szCs w:val="21"/>
              </w:rPr>
            </w:pPr>
            <w:r>
              <w:rPr>
                <w:rFonts w:ascii="宋体" w:hAnsi="宋体" w:hint="eastAsia"/>
                <w:szCs w:val="21"/>
              </w:rPr>
              <w:t>签订合同地点</w:t>
            </w:r>
            <w:r>
              <w:rPr>
                <w:rFonts w:ascii="宋体" w:hAnsi="宋体"/>
                <w:szCs w:val="21"/>
              </w:rPr>
              <w:t>:</w:t>
            </w:r>
            <w:r>
              <w:rPr>
                <w:rFonts w:ascii="宋体" w:hAnsi="宋体" w:hint="eastAsia"/>
                <w:szCs w:val="21"/>
              </w:rPr>
              <w:t>南京医科大学</w:t>
            </w:r>
          </w:p>
        </w:tc>
      </w:tr>
      <w:tr w:rsidR="00F8039C">
        <w:tblPrEx>
          <w:tblCellMar>
            <w:top w:w="0" w:type="dxa"/>
            <w:bottom w:w="0" w:type="dxa"/>
          </w:tblCellMar>
        </w:tblPrEx>
        <w:trPr>
          <w:trHeight w:val="645"/>
        </w:trPr>
        <w:tc>
          <w:tcPr>
            <w:tcW w:w="925" w:type="dxa"/>
            <w:vAlign w:val="center"/>
          </w:tcPr>
          <w:p w:rsidR="00F8039C" w:rsidRDefault="000317BF">
            <w:pPr>
              <w:spacing w:line="580" w:lineRule="exact"/>
              <w:jc w:val="center"/>
              <w:rPr>
                <w:rFonts w:ascii="宋体"/>
                <w:b/>
                <w:szCs w:val="21"/>
              </w:rPr>
            </w:pPr>
            <w:r>
              <w:rPr>
                <w:rFonts w:ascii="宋体" w:hAnsi="宋体"/>
                <w:b/>
                <w:szCs w:val="21"/>
              </w:rPr>
              <w:t>6</w:t>
            </w:r>
          </w:p>
        </w:tc>
        <w:tc>
          <w:tcPr>
            <w:tcW w:w="7597" w:type="dxa"/>
          </w:tcPr>
          <w:p w:rsidR="00F8039C" w:rsidRDefault="000317BF">
            <w:pPr>
              <w:spacing w:line="580" w:lineRule="exact"/>
              <w:rPr>
                <w:rFonts w:ascii="宋体"/>
                <w:b/>
                <w:szCs w:val="21"/>
              </w:rPr>
            </w:pPr>
            <w:r>
              <w:rPr>
                <w:rFonts w:ascii="宋体" w:hAnsi="宋体" w:hint="eastAsia"/>
                <w:szCs w:val="21"/>
              </w:rPr>
              <w:t>交货地点</w:t>
            </w:r>
            <w:r>
              <w:rPr>
                <w:rFonts w:ascii="宋体" w:hAnsi="宋体"/>
                <w:szCs w:val="21"/>
              </w:rPr>
              <w:t xml:space="preserve">: </w:t>
            </w:r>
            <w:r>
              <w:rPr>
                <w:rFonts w:ascii="宋体" w:hAnsi="宋体" w:hint="eastAsia"/>
                <w:szCs w:val="21"/>
              </w:rPr>
              <w:t>南京医科大学图书馆</w:t>
            </w:r>
            <w:r>
              <w:rPr>
                <w:rFonts w:ascii="宋体" w:hAnsi="宋体"/>
                <w:szCs w:val="21"/>
              </w:rPr>
              <w:t xml:space="preserve"> </w:t>
            </w:r>
            <w:r>
              <w:rPr>
                <w:rFonts w:ascii="宋体" w:hAnsi="宋体" w:hint="eastAsia"/>
                <w:szCs w:val="21"/>
              </w:rPr>
              <w:t>南京市汉中路</w:t>
            </w:r>
            <w:r>
              <w:rPr>
                <w:rFonts w:ascii="宋体" w:hAnsi="宋体"/>
                <w:szCs w:val="21"/>
              </w:rPr>
              <w:t>140</w:t>
            </w:r>
            <w:r>
              <w:rPr>
                <w:rFonts w:ascii="宋体" w:hAnsi="宋体" w:hint="eastAsia"/>
                <w:szCs w:val="21"/>
              </w:rPr>
              <w:t>号</w:t>
            </w:r>
          </w:p>
        </w:tc>
      </w:tr>
    </w:tbl>
    <w:p w:rsidR="00F8039C" w:rsidRDefault="00F8039C">
      <w:pPr>
        <w:spacing w:line="360" w:lineRule="auto"/>
        <w:rPr>
          <w:rFonts w:ascii="Calibri" w:hAnsi="Calibri"/>
          <w:sz w:val="24"/>
        </w:rPr>
      </w:pPr>
    </w:p>
    <w:p w:rsidR="00F8039C" w:rsidRDefault="00F8039C">
      <w:pPr>
        <w:spacing w:line="360" w:lineRule="auto"/>
        <w:rPr>
          <w:rFonts w:ascii="Calibri" w:hAnsi="Calibri"/>
          <w:sz w:val="24"/>
        </w:rPr>
      </w:pPr>
    </w:p>
    <w:p w:rsidR="00F8039C" w:rsidRDefault="00F8039C">
      <w:pPr>
        <w:spacing w:line="360" w:lineRule="auto"/>
        <w:rPr>
          <w:rFonts w:ascii="Calibri" w:hAnsi="Calibri"/>
          <w:sz w:val="24"/>
        </w:rPr>
      </w:pPr>
    </w:p>
    <w:p w:rsidR="00F8039C" w:rsidRDefault="000317BF">
      <w:pPr>
        <w:spacing w:line="360" w:lineRule="auto"/>
        <w:jc w:val="right"/>
        <w:rPr>
          <w:rFonts w:ascii="Calibri" w:hAnsi="Calibri"/>
          <w:sz w:val="28"/>
        </w:rPr>
      </w:pPr>
      <w:r>
        <w:rPr>
          <w:rFonts w:ascii="Calibri" w:hAnsi="Calibri"/>
          <w:sz w:val="24"/>
        </w:rPr>
        <w:t xml:space="preserve">                                             </w:t>
      </w:r>
      <w:r>
        <w:rPr>
          <w:rFonts w:ascii="Calibri" w:hAnsi="Calibri"/>
          <w:sz w:val="28"/>
        </w:rPr>
        <w:t xml:space="preserve">         </w:t>
      </w:r>
      <w:r>
        <w:rPr>
          <w:rFonts w:ascii="Calibri" w:hAnsi="Calibri" w:hint="eastAsia"/>
          <w:sz w:val="28"/>
        </w:rPr>
        <w:t>图书馆</w:t>
      </w:r>
    </w:p>
    <w:p w:rsidR="00F8039C" w:rsidRDefault="000317BF">
      <w:pPr>
        <w:spacing w:line="360" w:lineRule="auto"/>
        <w:jc w:val="right"/>
        <w:rPr>
          <w:rFonts w:ascii="Calibri" w:hAnsi="Calibri"/>
          <w:sz w:val="28"/>
        </w:rPr>
      </w:pPr>
      <w:r>
        <w:rPr>
          <w:rFonts w:ascii="Calibri" w:hAnsi="Calibri"/>
          <w:sz w:val="28"/>
        </w:rPr>
        <w:t>2014</w:t>
      </w:r>
      <w:r>
        <w:rPr>
          <w:rFonts w:ascii="Calibri" w:hAnsi="Calibri" w:hint="eastAsia"/>
          <w:sz w:val="28"/>
        </w:rPr>
        <w:t>年</w:t>
      </w:r>
      <w:r>
        <w:rPr>
          <w:rFonts w:ascii="Calibri" w:hAnsi="Calibri" w:hint="eastAsia"/>
          <w:sz w:val="28"/>
        </w:rPr>
        <w:t>6</w:t>
      </w:r>
      <w:r>
        <w:rPr>
          <w:rFonts w:ascii="Calibri" w:hAnsi="Calibri" w:hint="eastAsia"/>
          <w:sz w:val="28"/>
        </w:rPr>
        <w:t>月</w:t>
      </w:r>
      <w:r>
        <w:rPr>
          <w:rFonts w:ascii="Calibri" w:hAnsi="Calibri" w:hint="eastAsia"/>
          <w:sz w:val="28"/>
        </w:rPr>
        <w:t>3</w:t>
      </w:r>
      <w:r>
        <w:rPr>
          <w:rFonts w:ascii="Calibri" w:hAnsi="Calibri" w:hint="eastAsia"/>
          <w:sz w:val="28"/>
        </w:rPr>
        <w:t>日</w:t>
      </w:r>
    </w:p>
    <w:p w:rsidR="00F8039C" w:rsidRDefault="000317BF">
      <w:pPr>
        <w:pStyle w:val="1"/>
        <w:rPr>
          <w:rFonts w:ascii="Calibri" w:hAnsi="Calibri"/>
        </w:rPr>
      </w:pPr>
      <w:r>
        <w:rPr>
          <w:rFonts w:ascii="Calibri" w:hAnsi="Calibri" w:hint="eastAsia"/>
        </w:rPr>
        <w:lastRenderedPageBreak/>
        <w:t>附件：</w:t>
      </w:r>
    </w:p>
    <w:p w:rsidR="00F8039C" w:rsidRDefault="000317BF">
      <w:pPr>
        <w:pStyle w:val="3"/>
        <w:numPr>
          <w:ilvl w:val="0"/>
          <w:numId w:val="2"/>
        </w:numPr>
      </w:pPr>
      <w:r>
        <w:rPr>
          <w:rFonts w:hint="eastAsia"/>
        </w:rPr>
        <w:t>系统详细功能需求</w:t>
      </w:r>
    </w:p>
    <w:p w:rsidR="00F8039C" w:rsidRDefault="000317BF">
      <w:pPr>
        <w:pStyle w:val="4"/>
        <w:jc w:val="center"/>
      </w:pPr>
      <w:r>
        <w:rPr>
          <w:rFonts w:hint="eastAsia"/>
        </w:rPr>
        <w:t>存储设备（</w:t>
      </w:r>
      <w:r>
        <w:t>1</w:t>
      </w:r>
      <w:r>
        <w:rPr>
          <w:rFonts w:hint="eastAsia"/>
        </w:rPr>
        <w:t>套）</w:t>
      </w:r>
    </w:p>
    <w:tbl>
      <w:tblPr>
        <w:tblW w:w="10065" w:type="dxa"/>
        <w:tblInd w:w="-743" w:type="dxa"/>
        <w:tblLayout w:type="fixed"/>
        <w:tblLook w:val="0000" w:firstRow="0" w:lastRow="0" w:firstColumn="0" w:lastColumn="0" w:noHBand="0" w:noVBand="0"/>
      </w:tblPr>
      <w:tblGrid>
        <w:gridCol w:w="1277"/>
        <w:gridCol w:w="1702"/>
        <w:gridCol w:w="7086"/>
      </w:tblGrid>
      <w:tr w:rsidR="00F8039C">
        <w:tblPrEx>
          <w:tblCellMar>
            <w:top w:w="0" w:type="dxa"/>
            <w:bottom w:w="0" w:type="dxa"/>
          </w:tblCellMar>
        </w:tblPrEx>
        <w:trPr>
          <w:trHeight w:val="214"/>
        </w:trPr>
        <w:tc>
          <w:tcPr>
            <w:tcW w:w="1277" w:type="dxa"/>
            <w:tcBorders>
              <w:top w:val="single" w:sz="4" w:space="0" w:color="auto"/>
              <w:left w:val="single" w:sz="4" w:space="0" w:color="auto"/>
              <w:bottom w:val="single" w:sz="4" w:space="0" w:color="auto"/>
              <w:right w:val="single" w:sz="4" w:space="0" w:color="auto"/>
            </w:tcBorders>
            <w:shd w:val="clear" w:color="000000" w:fill="FF0000"/>
            <w:vAlign w:val="center"/>
          </w:tcPr>
          <w:p w:rsidR="00F8039C" w:rsidRDefault="000317BF">
            <w:pPr>
              <w:widowControl/>
              <w:jc w:val="center"/>
              <w:rPr>
                <w:b/>
                <w:kern w:val="0"/>
              </w:rPr>
            </w:pPr>
            <w:r>
              <w:rPr>
                <w:rFonts w:ascii="宋体" w:hAnsi="宋体" w:hint="eastAsia"/>
                <w:b/>
                <w:kern w:val="0"/>
              </w:rPr>
              <w:t>设备名称</w:t>
            </w:r>
          </w:p>
        </w:tc>
        <w:tc>
          <w:tcPr>
            <w:tcW w:w="1702" w:type="dxa"/>
            <w:tcBorders>
              <w:top w:val="single" w:sz="4" w:space="0" w:color="auto"/>
              <w:left w:val="nil"/>
              <w:bottom w:val="single" w:sz="4" w:space="0" w:color="auto"/>
              <w:right w:val="single" w:sz="4" w:space="0" w:color="auto"/>
            </w:tcBorders>
            <w:shd w:val="clear" w:color="000000" w:fill="FF0000"/>
            <w:vAlign w:val="center"/>
          </w:tcPr>
          <w:p w:rsidR="00F8039C" w:rsidRDefault="000317BF">
            <w:pPr>
              <w:widowControl/>
              <w:jc w:val="left"/>
              <w:rPr>
                <w:b/>
                <w:kern w:val="0"/>
              </w:rPr>
            </w:pPr>
            <w:r>
              <w:rPr>
                <w:rFonts w:ascii="宋体" w:hAnsi="宋体" w:hint="eastAsia"/>
                <w:b/>
                <w:kern w:val="0"/>
              </w:rPr>
              <w:t>技术指标</w:t>
            </w:r>
          </w:p>
        </w:tc>
        <w:tc>
          <w:tcPr>
            <w:tcW w:w="7086" w:type="dxa"/>
            <w:tcBorders>
              <w:top w:val="single" w:sz="4" w:space="0" w:color="auto"/>
              <w:left w:val="nil"/>
              <w:bottom w:val="single" w:sz="4" w:space="0" w:color="auto"/>
              <w:right w:val="single" w:sz="4" w:space="0" w:color="auto"/>
            </w:tcBorders>
            <w:shd w:val="clear" w:color="000000" w:fill="FF0000"/>
            <w:vAlign w:val="center"/>
          </w:tcPr>
          <w:p w:rsidR="00F8039C" w:rsidRDefault="000317BF">
            <w:pPr>
              <w:widowControl/>
              <w:jc w:val="center"/>
              <w:rPr>
                <w:b/>
                <w:kern w:val="0"/>
              </w:rPr>
            </w:pPr>
            <w:r>
              <w:rPr>
                <w:rFonts w:ascii="宋体" w:hAnsi="宋体" w:hint="eastAsia"/>
                <w:b/>
                <w:kern w:val="0"/>
              </w:rPr>
              <w:t>招标参数要求</w:t>
            </w:r>
          </w:p>
        </w:tc>
      </w:tr>
      <w:tr w:rsidR="00F8039C">
        <w:tblPrEx>
          <w:tblCellMar>
            <w:top w:w="0" w:type="dxa"/>
            <w:bottom w:w="0" w:type="dxa"/>
          </w:tblCellMar>
        </w:tblPrEx>
        <w:trPr>
          <w:trHeight w:val="371"/>
        </w:trPr>
        <w:tc>
          <w:tcPr>
            <w:tcW w:w="1277" w:type="dxa"/>
            <w:vMerge w:val="restart"/>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★体系结构</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kern w:val="0"/>
              </w:rPr>
              <w:t>3U16</w:t>
            </w:r>
            <w:r>
              <w:rPr>
                <w:rFonts w:ascii="宋体" w:hAnsi="宋体" w:hint="eastAsia"/>
                <w:kern w:val="0"/>
              </w:rPr>
              <w:t>盘位，模块化设计</w:t>
            </w:r>
          </w:p>
        </w:tc>
      </w:tr>
      <w:tr w:rsidR="00F8039C">
        <w:tblPrEx>
          <w:tblCellMar>
            <w:top w:w="0" w:type="dxa"/>
            <w:bottom w:w="0" w:type="dxa"/>
          </w:tblCellMar>
        </w:tblPrEx>
        <w:trPr>
          <w:trHeight w:val="688"/>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★存储架构</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设备同时支持</w:t>
            </w:r>
            <w:r>
              <w:rPr>
                <w:kern w:val="0"/>
              </w:rPr>
              <w:t>FC SAN/NAS/iSCSI/HTTP/FTP</w:t>
            </w:r>
            <w:r>
              <w:rPr>
                <w:rFonts w:ascii="宋体" w:hAnsi="宋体" w:hint="eastAsia"/>
                <w:kern w:val="0"/>
              </w:rPr>
              <w:t>等多种协议，产品采用统一存储架构设计，非</w:t>
            </w:r>
            <w:r>
              <w:rPr>
                <w:kern w:val="0"/>
              </w:rPr>
              <w:t>NAS</w:t>
            </w:r>
            <w:r>
              <w:rPr>
                <w:rFonts w:ascii="宋体" w:hAnsi="宋体" w:hint="eastAsia"/>
                <w:kern w:val="0"/>
              </w:rPr>
              <w:t>网关方式实现，并且配置</w:t>
            </w:r>
            <w:proofErr w:type="gramStart"/>
            <w:r>
              <w:rPr>
                <w:rFonts w:ascii="宋体" w:hAnsi="宋体" w:hint="eastAsia"/>
                <w:kern w:val="0"/>
              </w:rPr>
              <w:t>全协议</w:t>
            </w:r>
            <w:proofErr w:type="gramEnd"/>
            <w:r>
              <w:rPr>
                <w:rFonts w:ascii="宋体" w:hAnsi="宋体" w:hint="eastAsia"/>
                <w:kern w:val="0"/>
              </w:rPr>
              <w:t>访问许可，</w:t>
            </w:r>
            <w:r>
              <w:rPr>
                <w:rFonts w:hint="eastAsia"/>
              </w:rPr>
              <w:t>要求采用非</w:t>
            </w:r>
            <w:r>
              <w:t>X86</w:t>
            </w:r>
            <w:r>
              <w:rPr>
                <w:rFonts w:hint="eastAsia"/>
              </w:rPr>
              <w:t>架构</w:t>
            </w:r>
          </w:p>
        </w:tc>
      </w:tr>
      <w:tr w:rsidR="00F8039C">
        <w:tblPrEx>
          <w:tblCellMar>
            <w:top w:w="0" w:type="dxa"/>
            <w:bottom w:w="0" w:type="dxa"/>
          </w:tblCellMar>
        </w:tblPrEx>
        <w:trPr>
          <w:trHeight w:val="668"/>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★存储控制器</w:t>
            </w:r>
            <w:r>
              <w:rPr>
                <w:kern w:val="0"/>
              </w:rPr>
              <w:t xml:space="preserve"> </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配置</w:t>
            </w:r>
            <w:r>
              <w:rPr>
                <w:kern w:val="0"/>
              </w:rPr>
              <w:t>≥</w:t>
            </w:r>
            <w:r>
              <w:rPr>
                <w:rFonts w:ascii="宋体" w:hAnsi="宋体" w:hint="eastAsia"/>
                <w:kern w:val="0"/>
              </w:rPr>
              <w:t>两个存储控制器，控制器冗余设计，支持在线更换控制器，每一控制器可以独立控制所有的磁盘，</w:t>
            </w:r>
            <w:r>
              <w:rPr>
                <w:kern w:val="0"/>
              </w:rPr>
              <w:t>RAID</w:t>
            </w:r>
            <w:r>
              <w:rPr>
                <w:rFonts w:ascii="宋体" w:hAnsi="宋体" w:hint="eastAsia"/>
                <w:kern w:val="0"/>
              </w:rPr>
              <w:t>算法采用硬件</w:t>
            </w:r>
            <w:r>
              <w:rPr>
                <w:kern w:val="0"/>
              </w:rPr>
              <w:t>XOR</w:t>
            </w:r>
            <w:r>
              <w:rPr>
                <w:rFonts w:ascii="宋体" w:hAnsi="宋体" w:hint="eastAsia"/>
                <w:kern w:val="0"/>
              </w:rPr>
              <w:t>设计</w:t>
            </w:r>
          </w:p>
        </w:tc>
      </w:tr>
      <w:tr w:rsidR="00F8039C">
        <w:tblPrEx>
          <w:tblCellMar>
            <w:top w:w="0" w:type="dxa"/>
            <w:bottom w:w="0" w:type="dxa"/>
          </w:tblCellMar>
        </w:tblPrEx>
        <w:trPr>
          <w:trHeight w:val="409"/>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★缓存</w:t>
            </w:r>
            <w:r>
              <w:rPr>
                <w:kern w:val="0"/>
              </w:rPr>
              <w:t xml:space="preserve"> </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配置</w:t>
            </w:r>
            <w:r>
              <w:rPr>
                <w:kern w:val="0"/>
              </w:rPr>
              <w:t xml:space="preserve">≥32GB Cache </w:t>
            </w:r>
            <w:r>
              <w:rPr>
                <w:rFonts w:ascii="宋体" w:hAnsi="宋体" w:hint="eastAsia"/>
                <w:kern w:val="0"/>
              </w:rPr>
              <w:t>（非</w:t>
            </w:r>
            <w:r>
              <w:rPr>
                <w:kern w:val="0"/>
              </w:rPr>
              <w:t>SSD</w:t>
            </w:r>
            <w:r>
              <w:rPr>
                <w:rFonts w:ascii="宋体" w:hAnsi="宋体" w:hint="eastAsia"/>
                <w:kern w:val="0"/>
              </w:rPr>
              <w:t>或者高速</w:t>
            </w:r>
            <w:r>
              <w:rPr>
                <w:kern w:val="0"/>
              </w:rPr>
              <w:t xml:space="preserve">Flash </w:t>
            </w:r>
            <w:r>
              <w:rPr>
                <w:rFonts w:ascii="宋体" w:hAnsi="宋体" w:hint="eastAsia"/>
                <w:kern w:val="0"/>
              </w:rPr>
              <w:t>充当缓存）</w:t>
            </w:r>
          </w:p>
        </w:tc>
      </w:tr>
      <w:tr w:rsidR="00F8039C">
        <w:tblPrEx>
          <w:tblCellMar>
            <w:top w:w="0" w:type="dxa"/>
            <w:bottom w:w="0" w:type="dxa"/>
          </w:tblCellMar>
        </w:tblPrEx>
        <w:trPr>
          <w:trHeight w:val="57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★缓存保护</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配置</w:t>
            </w:r>
            <w:r>
              <w:rPr>
                <w:kern w:val="0"/>
              </w:rPr>
              <w:t xml:space="preserve"> BBU </w:t>
            </w:r>
            <w:r>
              <w:rPr>
                <w:rFonts w:ascii="宋体" w:hAnsi="宋体" w:hint="eastAsia"/>
                <w:kern w:val="0"/>
              </w:rPr>
              <w:t>电池保护，配置基于</w:t>
            </w:r>
            <w:r>
              <w:rPr>
                <w:kern w:val="0"/>
              </w:rPr>
              <w:t xml:space="preserve"> Flash </w:t>
            </w:r>
            <w:r>
              <w:rPr>
                <w:rFonts w:ascii="宋体" w:hAnsi="宋体" w:hint="eastAsia"/>
                <w:kern w:val="0"/>
              </w:rPr>
              <w:t>的永久保护模组，不存在断电时间限制</w:t>
            </w:r>
          </w:p>
        </w:tc>
      </w:tr>
      <w:tr w:rsidR="00F8039C">
        <w:tblPrEx>
          <w:tblCellMar>
            <w:top w:w="0" w:type="dxa"/>
            <w:bottom w:w="0" w:type="dxa"/>
          </w:tblCellMar>
        </w:tblPrEx>
        <w:trPr>
          <w:trHeight w:val="636"/>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★主机接口</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配置</w:t>
            </w:r>
            <w:r>
              <w:rPr>
                <w:kern w:val="0"/>
              </w:rPr>
              <w:t>≥12</w:t>
            </w:r>
            <w:r>
              <w:rPr>
                <w:rFonts w:hint="eastAsia"/>
                <w:kern w:val="0"/>
              </w:rPr>
              <w:t>个主机接口</w:t>
            </w:r>
            <w:r>
              <w:rPr>
                <w:rFonts w:eastAsia="Times New Roman"/>
                <w:kern w:val="0"/>
              </w:rPr>
              <w:t>,</w:t>
            </w:r>
            <w:r>
              <w:rPr>
                <w:rFonts w:hint="eastAsia"/>
                <w:kern w:val="0"/>
              </w:rPr>
              <w:t>其中包含</w:t>
            </w:r>
            <w:r>
              <w:rPr>
                <w:kern w:val="0"/>
              </w:rPr>
              <w:t>≥8</w:t>
            </w:r>
            <w:r>
              <w:rPr>
                <w:rFonts w:ascii="宋体" w:hAnsi="宋体" w:hint="eastAsia"/>
                <w:kern w:val="0"/>
              </w:rPr>
              <w:t>个</w:t>
            </w:r>
            <w:r>
              <w:rPr>
                <w:kern w:val="0"/>
              </w:rPr>
              <w:t xml:space="preserve">1Gb ISCSI </w:t>
            </w:r>
            <w:r>
              <w:rPr>
                <w:rFonts w:ascii="宋体" w:hAnsi="宋体" w:hint="eastAsia"/>
                <w:kern w:val="0"/>
              </w:rPr>
              <w:t>主机接口</w:t>
            </w:r>
            <w:r>
              <w:rPr>
                <w:kern w:val="0"/>
              </w:rPr>
              <w:t>+4</w:t>
            </w:r>
            <w:r>
              <w:rPr>
                <w:rFonts w:ascii="宋体" w:hAnsi="宋体" w:hint="eastAsia"/>
                <w:kern w:val="0"/>
              </w:rPr>
              <w:t>个</w:t>
            </w:r>
            <w:r>
              <w:rPr>
                <w:kern w:val="0"/>
              </w:rPr>
              <w:t>8Gb FC</w:t>
            </w:r>
            <w:r>
              <w:rPr>
                <w:rFonts w:ascii="宋体" w:hAnsi="宋体" w:hint="eastAsia"/>
                <w:kern w:val="0"/>
              </w:rPr>
              <w:t>主机接口</w:t>
            </w:r>
          </w:p>
        </w:tc>
      </w:tr>
      <w:tr w:rsidR="00F8039C">
        <w:tblPrEx>
          <w:tblCellMar>
            <w:top w:w="0" w:type="dxa"/>
            <w:bottom w:w="0" w:type="dxa"/>
          </w:tblCellMar>
        </w:tblPrEx>
        <w:trPr>
          <w:trHeight w:val="375"/>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w:t>
            </w:r>
            <w:proofErr w:type="gramStart"/>
            <w:r>
              <w:rPr>
                <w:rFonts w:ascii="宋体" w:hAnsi="宋体" w:hint="eastAsia"/>
                <w:kern w:val="0"/>
              </w:rPr>
              <w:t>实配容量</w:t>
            </w:r>
            <w:proofErr w:type="gramEnd"/>
          </w:p>
        </w:tc>
        <w:tc>
          <w:tcPr>
            <w:tcW w:w="7086" w:type="dxa"/>
            <w:tcBorders>
              <w:top w:val="nil"/>
              <w:left w:val="nil"/>
              <w:bottom w:val="single" w:sz="4" w:space="0" w:color="auto"/>
              <w:right w:val="single" w:sz="4" w:space="0" w:color="auto"/>
            </w:tcBorders>
            <w:vAlign w:val="center"/>
          </w:tcPr>
          <w:p w:rsidR="00F8039C" w:rsidRDefault="000317BF">
            <w:pPr>
              <w:widowControl/>
              <w:jc w:val="left"/>
              <w:rPr>
                <w:rFonts w:eastAsia="Times New Roman"/>
                <w:kern w:val="0"/>
              </w:rPr>
            </w:pPr>
            <w:r>
              <w:rPr>
                <w:rFonts w:ascii="宋体" w:hAnsi="宋体"/>
                <w:kern w:val="0"/>
              </w:rPr>
              <w:t>2</w:t>
            </w:r>
            <w:r>
              <w:rPr>
                <w:rFonts w:ascii="宋体" w:hAnsi="宋体" w:hint="eastAsia"/>
                <w:kern w:val="0"/>
              </w:rPr>
              <w:t>5</w:t>
            </w:r>
            <w:r>
              <w:rPr>
                <w:rFonts w:ascii="宋体" w:hAnsi="宋体" w:hint="eastAsia"/>
                <w:kern w:val="0"/>
              </w:rPr>
              <w:t>块</w:t>
            </w:r>
            <w:r>
              <w:rPr>
                <w:rFonts w:ascii="宋体" w:hAnsi="宋体"/>
                <w:kern w:val="0"/>
              </w:rPr>
              <w:t xml:space="preserve">4T </w:t>
            </w:r>
            <w:r w:rsidRPr="00424C27">
              <w:rPr>
                <w:rFonts w:ascii="宋体" w:hAnsi="宋体"/>
                <w:kern w:val="0"/>
              </w:rPr>
              <w:t>S</w:t>
            </w:r>
            <w:r w:rsidRPr="00424C27">
              <w:rPr>
                <w:rFonts w:ascii="宋体" w:hAnsi="宋体" w:hint="eastAsia"/>
                <w:kern w:val="0"/>
              </w:rPr>
              <w:t>AS</w:t>
            </w:r>
            <w:bookmarkStart w:id="2" w:name="_GoBack"/>
            <w:bookmarkEnd w:id="2"/>
            <w:r>
              <w:rPr>
                <w:rFonts w:ascii="宋体" w:hAnsi="宋体" w:hint="eastAsia"/>
                <w:kern w:val="0"/>
              </w:rPr>
              <w:t>硬盘，</w:t>
            </w:r>
            <w:r>
              <w:rPr>
                <w:rFonts w:ascii="宋体" w:hAnsi="宋体" w:hint="eastAsia"/>
                <w:kern w:val="0"/>
              </w:rPr>
              <w:t>7</w:t>
            </w:r>
            <w:r>
              <w:rPr>
                <w:rFonts w:ascii="宋体" w:hAnsi="宋体" w:hint="eastAsia"/>
                <w:kern w:val="0"/>
              </w:rPr>
              <w:t>块</w:t>
            </w:r>
            <w:r>
              <w:rPr>
                <w:rFonts w:ascii="宋体" w:hAnsi="宋体"/>
                <w:kern w:val="0"/>
              </w:rPr>
              <w:t>600G 3.5</w:t>
            </w:r>
            <w:r>
              <w:rPr>
                <w:rFonts w:ascii="宋体" w:hAnsi="宋体" w:hint="eastAsia"/>
                <w:kern w:val="0"/>
              </w:rPr>
              <w:t>吋</w:t>
            </w:r>
            <w:r>
              <w:rPr>
                <w:rFonts w:ascii="宋体" w:hAnsi="宋体"/>
                <w:kern w:val="0"/>
              </w:rPr>
              <w:t>15K</w:t>
            </w:r>
            <w:r>
              <w:rPr>
                <w:rFonts w:ascii="宋体" w:hAnsi="宋体" w:hint="eastAsia"/>
                <w:kern w:val="0"/>
              </w:rPr>
              <w:t>转</w:t>
            </w:r>
            <w:r>
              <w:rPr>
                <w:rFonts w:ascii="宋体" w:hAnsi="宋体"/>
                <w:kern w:val="0"/>
              </w:rPr>
              <w:t>SAS</w:t>
            </w:r>
            <w:r>
              <w:rPr>
                <w:rFonts w:ascii="宋体" w:hAnsi="宋体" w:hint="eastAsia"/>
                <w:kern w:val="0"/>
              </w:rPr>
              <w:t>硬盘</w:t>
            </w:r>
          </w:p>
        </w:tc>
      </w:tr>
      <w:tr w:rsidR="00F8039C">
        <w:tblPrEx>
          <w:tblCellMar>
            <w:top w:w="0" w:type="dxa"/>
            <w:bottom w:w="0" w:type="dxa"/>
          </w:tblCellMar>
        </w:tblPrEx>
        <w:trPr>
          <w:trHeight w:val="375"/>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★数据安全服务</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提供一年国家信息中心数据恢复服务；投标时需提供国家信息中心相关部门授权，中标人在设备到货时需提供国家信息中心相关部门出具包含硬盘序列号在内的数据恢复承诺文件</w:t>
            </w:r>
          </w:p>
        </w:tc>
      </w:tr>
      <w:tr w:rsidR="00F8039C">
        <w:tblPrEx>
          <w:tblCellMar>
            <w:top w:w="0" w:type="dxa"/>
            <w:bottom w:w="0" w:type="dxa"/>
          </w:tblCellMar>
        </w:tblPrEx>
        <w:trPr>
          <w:trHeight w:val="375"/>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w:t>
            </w:r>
            <w:r>
              <w:rPr>
                <w:rFonts w:ascii="宋体" w:hAnsi="宋体"/>
                <w:kern w:val="0"/>
              </w:rPr>
              <w:t>HBA</w:t>
            </w:r>
            <w:r>
              <w:rPr>
                <w:rFonts w:ascii="宋体" w:hAnsi="宋体" w:hint="eastAsia"/>
                <w:kern w:val="0"/>
              </w:rPr>
              <w:t>卡</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配置</w:t>
            </w:r>
            <w:r>
              <w:rPr>
                <w:kern w:val="0"/>
              </w:rPr>
              <w:t>≥</w:t>
            </w:r>
            <w:r>
              <w:rPr>
                <w:rFonts w:ascii="宋体" w:hAnsi="宋体"/>
                <w:kern w:val="0"/>
              </w:rPr>
              <w:t>4*</w:t>
            </w:r>
            <w:r>
              <w:rPr>
                <w:rFonts w:ascii="宋体" w:hAnsi="宋体" w:hint="eastAsia"/>
                <w:kern w:val="0"/>
              </w:rPr>
              <w:t>单口</w:t>
            </w:r>
            <w:r>
              <w:rPr>
                <w:rFonts w:ascii="宋体" w:hAnsi="宋体"/>
                <w:kern w:val="0"/>
              </w:rPr>
              <w:t xml:space="preserve">8Gb PCI-E </w:t>
            </w:r>
            <w:r>
              <w:rPr>
                <w:rFonts w:ascii="宋体" w:hAnsi="宋体" w:hint="eastAsia"/>
                <w:kern w:val="0"/>
              </w:rPr>
              <w:t>光纤</w:t>
            </w:r>
            <w:r>
              <w:rPr>
                <w:rFonts w:ascii="宋体" w:hAnsi="宋体"/>
                <w:kern w:val="0"/>
              </w:rPr>
              <w:t>HBA</w:t>
            </w:r>
            <w:r>
              <w:rPr>
                <w:rFonts w:ascii="宋体" w:hAnsi="宋体" w:hint="eastAsia"/>
                <w:kern w:val="0"/>
              </w:rPr>
              <w:t>卡</w:t>
            </w:r>
          </w:p>
        </w:tc>
      </w:tr>
      <w:tr w:rsidR="00F8039C">
        <w:tblPrEx>
          <w:tblCellMar>
            <w:top w:w="0" w:type="dxa"/>
            <w:bottom w:w="0" w:type="dxa"/>
          </w:tblCellMar>
        </w:tblPrEx>
        <w:trPr>
          <w:trHeight w:val="497"/>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磁盘驱动器</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支持在同一个磁盘阵列柜子中混合使用不同类型，不同容量的硬盘；</w:t>
            </w:r>
            <w:r>
              <w:rPr>
                <w:rFonts w:eastAsia="Times New Roman"/>
                <w:kern w:val="0"/>
              </w:rPr>
              <w:br/>
            </w:r>
            <w:r>
              <w:rPr>
                <w:rFonts w:ascii="宋体" w:hAnsi="宋体" w:hint="eastAsia"/>
                <w:kern w:val="0"/>
              </w:rPr>
              <w:t>支持</w:t>
            </w:r>
            <w:r>
              <w:rPr>
                <w:kern w:val="0"/>
              </w:rPr>
              <w:t xml:space="preserve"> SAS\SATA\SSD</w:t>
            </w:r>
            <w:r>
              <w:rPr>
                <w:rFonts w:ascii="宋体" w:hAnsi="宋体" w:hint="eastAsia"/>
                <w:kern w:val="0"/>
              </w:rPr>
              <w:t>不同规格的硬盘</w:t>
            </w:r>
          </w:p>
        </w:tc>
      </w:tr>
      <w:tr w:rsidR="00F8039C">
        <w:tblPrEx>
          <w:tblCellMar>
            <w:top w:w="0" w:type="dxa"/>
            <w:bottom w:w="0" w:type="dxa"/>
          </w:tblCellMar>
        </w:tblPrEx>
        <w:trPr>
          <w:trHeight w:val="600"/>
        </w:trPr>
        <w:tc>
          <w:tcPr>
            <w:tcW w:w="1277" w:type="dxa"/>
            <w:vMerge/>
            <w:tcBorders>
              <w:top w:val="nil"/>
              <w:left w:val="single" w:sz="4" w:space="0" w:color="auto"/>
              <w:bottom w:val="single" w:sz="4" w:space="0" w:color="000000"/>
              <w:right w:val="single" w:sz="4" w:space="0" w:color="auto"/>
            </w:tcBorders>
            <w:shd w:val="clear" w:color="auto" w:fill="auto"/>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shd w:val="clear" w:color="000000" w:fill="FFFFFF"/>
            <w:vAlign w:val="center"/>
          </w:tcPr>
          <w:p w:rsidR="00F8039C" w:rsidRDefault="000317BF">
            <w:pPr>
              <w:widowControl/>
              <w:rPr>
                <w:rFonts w:eastAsia="Times New Roman"/>
                <w:kern w:val="0"/>
              </w:rPr>
            </w:pPr>
            <w:r>
              <w:rPr>
                <w:rFonts w:ascii="宋体" w:hAnsi="宋体" w:hint="eastAsia"/>
                <w:kern w:val="0"/>
              </w:rPr>
              <w:t>★</w:t>
            </w:r>
            <w:r>
              <w:rPr>
                <w:kern w:val="0"/>
              </w:rPr>
              <w:t xml:space="preserve">RAID </w:t>
            </w:r>
            <w:r>
              <w:rPr>
                <w:rFonts w:ascii="宋体" w:hAnsi="宋体" w:hint="eastAsia"/>
                <w:kern w:val="0"/>
              </w:rPr>
              <w:t>级别</w:t>
            </w:r>
          </w:p>
        </w:tc>
        <w:tc>
          <w:tcPr>
            <w:tcW w:w="7086" w:type="dxa"/>
            <w:tcBorders>
              <w:top w:val="nil"/>
              <w:left w:val="nil"/>
              <w:bottom w:val="single" w:sz="4" w:space="0" w:color="auto"/>
              <w:right w:val="single" w:sz="4" w:space="0" w:color="auto"/>
            </w:tcBorders>
            <w:shd w:val="clear" w:color="000000" w:fill="FFFFFF"/>
            <w:vAlign w:val="center"/>
          </w:tcPr>
          <w:p w:rsidR="00F8039C" w:rsidRDefault="000317BF">
            <w:pPr>
              <w:widowControl/>
              <w:jc w:val="left"/>
              <w:rPr>
                <w:rFonts w:eastAsia="Times New Roman"/>
                <w:kern w:val="0"/>
              </w:rPr>
            </w:pPr>
            <w:r>
              <w:rPr>
                <w:rFonts w:ascii="宋体" w:hAnsi="宋体" w:hint="eastAsia"/>
                <w:kern w:val="0"/>
              </w:rPr>
              <w:t>支持</w:t>
            </w:r>
            <w:r>
              <w:rPr>
                <w:kern w:val="0"/>
              </w:rPr>
              <w:t>RAID 0</w:t>
            </w:r>
            <w:r>
              <w:rPr>
                <w:rFonts w:ascii="宋体" w:hAnsi="宋体" w:hint="eastAsia"/>
                <w:kern w:val="0"/>
              </w:rPr>
              <w:t>、</w:t>
            </w:r>
            <w:r>
              <w:rPr>
                <w:kern w:val="0"/>
              </w:rPr>
              <w:t>1</w:t>
            </w:r>
            <w:r>
              <w:rPr>
                <w:rFonts w:ascii="宋体" w:hAnsi="宋体" w:hint="eastAsia"/>
                <w:kern w:val="0"/>
              </w:rPr>
              <w:t>、</w:t>
            </w:r>
            <w:r>
              <w:rPr>
                <w:kern w:val="0"/>
              </w:rPr>
              <w:t>10</w:t>
            </w:r>
            <w:r>
              <w:rPr>
                <w:rFonts w:ascii="宋体" w:hAnsi="宋体" w:hint="eastAsia"/>
                <w:kern w:val="0"/>
              </w:rPr>
              <w:t>、</w:t>
            </w:r>
            <w:r>
              <w:rPr>
                <w:kern w:val="0"/>
              </w:rPr>
              <w:t>5</w:t>
            </w:r>
            <w:r>
              <w:rPr>
                <w:rFonts w:ascii="宋体" w:hAnsi="宋体" w:hint="eastAsia"/>
                <w:kern w:val="0"/>
              </w:rPr>
              <w:t>等；支持</w:t>
            </w:r>
            <w:r>
              <w:rPr>
                <w:kern w:val="0"/>
              </w:rPr>
              <w:t>RAID2.0</w:t>
            </w:r>
            <w:r>
              <w:rPr>
                <w:rFonts w:ascii="宋体" w:hAnsi="宋体" w:hint="eastAsia"/>
                <w:kern w:val="0"/>
              </w:rPr>
              <w:t>，相对传统</w:t>
            </w:r>
            <w:r>
              <w:rPr>
                <w:kern w:val="0"/>
              </w:rPr>
              <w:t>RAID</w:t>
            </w:r>
            <w:r>
              <w:rPr>
                <w:rFonts w:ascii="宋体" w:hAnsi="宋体" w:hint="eastAsia"/>
                <w:kern w:val="0"/>
              </w:rPr>
              <w:t>能使硬盘灾难平均重建时间缩短</w:t>
            </w:r>
            <w:r>
              <w:rPr>
                <w:kern w:val="0"/>
              </w:rPr>
              <w:t>5</w:t>
            </w:r>
            <w:r>
              <w:rPr>
                <w:rFonts w:ascii="宋体" w:hAnsi="宋体" w:hint="eastAsia"/>
                <w:kern w:val="0"/>
              </w:rPr>
              <w:t>倍以上</w:t>
            </w:r>
          </w:p>
        </w:tc>
      </w:tr>
      <w:tr w:rsidR="00F8039C">
        <w:tblPrEx>
          <w:tblCellMar>
            <w:top w:w="0" w:type="dxa"/>
            <w:bottom w:w="0" w:type="dxa"/>
          </w:tblCellMar>
        </w:tblPrEx>
        <w:trPr>
          <w:trHeight w:val="54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★分层存储模块</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支持分层存储软件模块，在线实现数据分层，通过分层实现热点数据管理，实现存储应用加速</w:t>
            </w:r>
          </w:p>
        </w:tc>
      </w:tr>
      <w:tr w:rsidR="00F8039C">
        <w:tblPrEx>
          <w:tblCellMar>
            <w:top w:w="0" w:type="dxa"/>
            <w:bottom w:w="0" w:type="dxa"/>
          </w:tblCellMar>
        </w:tblPrEx>
        <w:trPr>
          <w:trHeight w:val="57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系统管理软件</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提供完整的存储系统管理软件，支持集中式</w:t>
            </w:r>
            <w:r>
              <w:rPr>
                <w:kern w:val="0"/>
              </w:rPr>
              <w:t xml:space="preserve"> GUI </w:t>
            </w:r>
            <w:r>
              <w:rPr>
                <w:rFonts w:ascii="宋体" w:hAnsi="宋体" w:hint="eastAsia"/>
                <w:kern w:val="0"/>
              </w:rPr>
              <w:t>管理，在同一管理界面实现监控，提供冗余</w:t>
            </w:r>
          </w:p>
        </w:tc>
      </w:tr>
      <w:tr w:rsidR="00F8039C">
        <w:tblPrEx>
          <w:tblCellMar>
            <w:top w:w="0" w:type="dxa"/>
            <w:bottom w:w="0" w:type="dxa"/>
          </w:tblCellMar>
        </w:tblPrEx>
        <w:trPr>
          <w:trHeight w:val="634"/>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系统兼容性</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w:t>
            </w:r>
            <w:r>
              <w:rPr>
                <w:kern w:val="0"/>
              </w:rPr>
              <w:t xml:space="preserve"> WinNT,Win2000,Win2003,Win2008,Solaris, AIX, HPUX, NetWare, Red Hat Linux ……</w:t>
            </w:r>
            <w:r>
              <w:rPr>
                <w:rFonts w:ascii="宋体" w:hAnsi="宋体" w:hint="eastAsia"/>
                <w:kern w:val="0"/>
              </w:rPr>
              <w:t>等主流操作系统</w:t>
            </w:r>
          </w:p>
        </w:tc>
      </w:tr>
      <w:tr w:rsidR="00F8039C">
        <w:tblPrEx>
          <w:tblCellMar>
            <w:top w:w="0" w:type="dxa"/>
            <w:bottom w:w="0" w:type="dxa"/>
          </w:tblCellMar>
        </w:tblPrEx>
        <w:trPr>
          <w:trHeight w:val="988"/>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系统扩充性</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模块化结构，具有完全在线、无需停机的扩充能力，包括系统微码升级、系统处理能力的扩充、存储容量的扩充和</w:t>
            </w:r>
            <w:r>
              <w:rPr>
                <w:kern w:val="0"/>
              </w:rPr>
              <w:t xml:space="preserve"> IO </w:t>
            </w:r>
            <w:r>
              <w:rPr>
                <w:rFonts w:ascii="宋体" w:hAnsi="宋体" w:hint="eastAsia"/>
                <w:kern w:val="0"/>
              </w:rPr>
              <w:t>能力的扩充等，并支持系统的平滑扩充</w:t>
            </w:r>
            <w:r>
              <w:rPr>
                <w:rFonts w:eastAsia="Times New Roman"/>
                <w:kern w:val="0"/>
              </w:rPr>
              <w:t> </w:t>
            </w:r>
            <w:r>
              <w:rPr>
                <w:kern w:val="0"/>
              </w:rPr>
              <w:t xml:space="preserve"> </w:t>
            </w:r>
          </w:p>
        </w:tc>
      </w:tr>
      <w:tr w:rsidR="00F8039C">
        <w:tblPrEx>
          <w:tblCellMar>
            <w:top w:w="0" w:type="dxa"/>
            <w:bottom w:w="0" w:type="dxa"/>
          </w:tblCellMar>
        </w:tblPrEx>
        <w:trPr>
          <w:trHeight w:val="375"/>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电源风扇</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冗余电源，冗余散热风扇设计</w:t>
            </w:r>
          </w:p>
        </w:tc>
      </w:tr>
      <w:tr w:rsidR="00F8039C">
        <w:tblPrEx>
          <w:tblCellMar>
            <w:top w:w="0" w:type="dxa"/>
            <w:bottom w:w="0" w:type="dxa"/>
          </w:tblCellMar>
        </w:tblPrEx>
        <w:trPr>
          <w:trHeight w:val="454"/>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2"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★服务</w:t>
            </w:r>
          </w:p>
        </w:tc>
        <w:tc>
          <w:tcPr>
            <w:tcW w:w="7086"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提供</w:t>
            </w:r>
            <w:r>
              <w:rPr>
                <w:kern w:val="0"/>
              </w:rPr>
              <w:t>3</w:t>
            </w:r>
            <w:r>
              <w:rPr>
                <w:rFonts w:ascii="宋体" w:hAnsi="宋体" w:hint="eastAsia"/>
                <w:kern w:val="0"/>
              </w:rPr>
              <w:t>年</w:t>
            </w:r>
            <w:r>
              <w:rPr>
                <w:kern w:val="0"/>
              </w:rPr>
              <w:t>7*24</w:t>
            </w:r>
            <w:r>
              <w:rPr>
                <w:rFonts w:ascii="宋体" w:hAnsi="宋体" w:hint="eastAsia"/>
                <w:kern w:val="0"/>
              </w:rPr>
              <w:t>小时原厂免费上门服务，投标时提供原厂授权承诺函</w:t>
            </w:r>
          </w:p>
        </w:tc>
      </w:tr>
    </w:tbl>
    <w:p w:rsidR="00F8039C" w:rsidRDefault="00F8039C"/>
    <w:p w:rsidR="00F8039C" w:rsidRDefault="000317BF">
      <w:pPr>
        <w:pStyle w:val="4"/>
        <w:jc w:val="center"/>
      </w:pPr>
      <w:r>
        <w:rPr>
          <w:rFonts w:hint="eastAsia"/>
        </w:rPr>
        <w:lastRenderedPageBreak/>
        <w:t>备份设备（</w:t>
      </w:r>
      <w:r>
        <w:t>1</w:t>
      </w:r>
      <w:r>
        <w:rPr>
          <w:rFonts w:hint="eastAsia"/>
        </w:rPr>
        <w:t>套）</w:t>
      </w:r>
    </w:p>
    <w:tbl>
      <w:tblPr>
        <w:tblW w:w="10349" w:type="dxa"/>
        <w:tblInd w:w="-743" w:type="dxa"/>
        <w:tblLayout w:type="fixed"/>
        <w:tblLook w:val="0000" w:firstRow="0" w:lastRow="0" w:firstColumn="0" w:lastColumn="0" w:noHBand="0" w:noVBand="0"/>
      </w:tblPr>
      <w:tblGrid>
        <w:gridCol w:w="1277"/>
        <w:gridCol w:w="1701"/>
        <w:gridCol w:w="7371"/>
      </w:tblGrid>
      <w:tr w:rsidR="00F8039C">
        <w:tblPrEx>
          <w:tblCellMar>
            <w:top w:w="0" w:type="dxa"/>
            <w:bottom w:w="0" w:type="dxa"/>
          </w:tblCellMar>
        </w:tblPrEx>
        <w:trPr>
          <w:trHeight w:val="276"/>
        </w:trPr>
        <w:tc>
          <w:tcPr>
            <w:tcW w:w="1277" w:type="dxa"/>
            <w:tcBorders>
              <w:top w:val="single" w:sz="4" w:space="0" w:color="auto"/>
              <w:left w:val="single" w:sz="4" w:space="0" w:color="auto"/>
              <w:bottom w:val="single" w:sz="4" w:space="0" w:color="auto"/>
              <w:right w:val="single" w:sz="4" w:space="0" w:color="auto"/>
            </w:tcBorders>
            <w:shd w:val="clear" w:color="000000" w:fill="FF0000"/>
            <w:vAlign w:val="center"/>
          </w:tcPr>
          <w:p w:rsidR="00F8039C" w:rsidRDefault="000317BF">
            <w:pPr>
              <w:widowControl/>
              <w:jc w:val="center"/>
              <w:rPr>
                <w:b/>
                <w:kern w:val="0"/>
              </w:rPr>
            </w:pPr>
            <w:r>
              <w:rPr>
                <w:rFonts w:ascii="宋体" w:hAnsi="宋体" w:hint="eastAsia"/>
                <w:b/>
                <w:kern w:val="0"/>
              </w:rPr>
              <w:t>设备名称</w:t>
            </w:r>
          </w:p>
        </w:tc>
        <w:tc>
          <w:tcPr>
            <w:tcW w:w="1701" w:type="dxa"/>
            <w:tcBorders>
              <w:top w:val="single" w:sz="4" w:space="0" w:color="auto"/>
              <w:left w:val="nil"/>
              <w:bottom w:val="single" w:sz="4" w:space="0" w:color="auto"/>
              <w:right w:val="single" w:sz="4" w:space="0" w:color="auto"/>
            </w:tcBorders>
            <w:shd w:val="clear" w:color="000000" w:fill="FF0000"/>
            <w:vAlign w:val="center"/>
          </w:tcPr>
          <w:p w:rsidR="00F8039C" w:rsidRDefault="000317BF">
            <w:pPr>
              <w:widowControl/>
              <w:jc w:val="center"/>
              <w:rPr>
                <w:b/>
                <w:kern w:val="0"/>
              </w:rPr>
            </w:pPr>
            <w:r>
              <w:rPr>
                <w:rFonts w:ascii="宋体" w:hAnsi="宋体" w:hint="eastAsia"/>
                <w:b/>
                <w:kern w:val="0"/>
              </w:rPr>
              <w:t>技术指标</w:t>
            </w:r>
          </w:p>
        </w:tc>
        <w:tc>
          <w:tcPr>
            <w:tcW w:w="7371" w:type="dxa"/>
            <w:tcBorders>
              <w:top w:val="single" w:sz="4" w:space="0" w:color="auto"/>
              <w:left w:val="nil"/>
              <w:bottom w:val="single" w:sz="4" w:space="0" w:color="auto"/>
              <w:right w:val="single" w:sz="4" w:space="0" w:color="auto"/>
            </w:tcBorders>
            <w:shd w:val="clear" w:color="000000" w:fill="FF0000"/>
            <w:vAlign w:val="center"/>
          </w:tcPr>
          <w:p w:rsidR="00F8039C" w:rsidRDefault="000317BF">
            <w:pPr>
              <w:widowControl/>
              <w:jc w:val="center"/>
              <w:rPr>
                <w:b/>
                <w:kern w:val="0"/>
              </w:rPr>
            </w:pPr>
            <w:r>
              <w:rPr>
                <w:rFonts w:ascii="宋体" w:hAnsi="宋体" w:hint="eastAsia"/>
                <w:b/>
                <w:kern w:val="0"/>
              </w:rPr>
              <w:t>招标参数要求</w:t>
            </w:r>
          </w:p>
        </w:tc>
      </w:tr>
      <w:tr w:rsidR="00F8039C">
        <w:tblPrEx>
          <w:tblCellMar>
            <w:top w:w="0" w:type="dxa"/>
            <w:bottom w:w="0" w:type="dxa"/>
          </w:tblCellMar>
        </w:tblPrEx>
        <w:trPr>
          <w:trHeight w:val="300"/>
        </w:trPr>
        <w:tc>
          <w:tcPr>
            <w:tcW w:w="1277" w:type="dxa"/>
            <w:vMerge w:val="restart"/>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★系统架构</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kern w:val="0"/>
              </w:rPr>
              <w:t>≥</w:t>
            </w:r>
            <w:r>
              <w:rPr>
                <w:rFonts w:ascii="宋体" w:hAnsi="宋体"/>
                <w:kern w:val="0"/>
              </w:rPr>
              <w:t>4U</w:t>
            </w:r>
            <w:r>
              <w:rPr>
                <w:rFonts w:ascii="宋体" w:hAnsi="宋体" w:hint="eastAsia"/>
                <w:kern w:val="0"/>
              </w:rPr>
              <w:t>机架式备份存储系统，软硬一体化设计，最大可支持</w:t>
            </w:r>
            <w:r>
              <w:rPr>
                <w:rFonts w:ascii="宋体" w:hAnsi="宋体"/>
                <w:kern w:val="0"/>
              </w:rPr>
              <w:t>24</w:t>
            </w:r>
            <w:r>
              <w:rPr>
                <w:rFonts w:ascii="宋体" w:hAnsi="宋体" w:hint="eastAsia"/>
                <w:kern w:val="0"/>
              </w:rPr>
              <w:t>块存储介质</w:t>
            </w:r>
          </w:p>
        </w:tc>
      </w:tr>
      <w:tr w:rsidR="00F8039C">
        <w:tblPrEx>
          <w:tblCellMar>
            <w:top w:w="0" w:type="dxa"/>
            <w:bottom w:w="0" w:type="dxa"/>
          </w:tblCellMar>
        </w:tblPrEx>
        <w:trPr>
          <w:trHeight w:val="6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★平台性能要求</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rFonts w:eastAsia="Times New Roman"/>
                <w:kern w:val="0"/>
              </w:rPr>
            </w:pPr>
            <w:r>
              <w:rPr>
                <w:kern w:val="0"/>
              </w:rPr>
              <w:t>64</w:t>
            </w:r>
            <w:r>
              <w:rPr>
                <w:rFonts w:ascii="宋体" w:hAnsi="宋体" w:hint="eastAsia"/>
                <w:kern w:val="0"/>
              </w:rPr>
              <w:t>位高性能处理器，</w:t>
            </w:r>
            <w:r>
              <w:rPr>
                <w:kern w:val="0"/>
              </w:rPr>
              <w:t>2</w:t>
            </w:r>
            <w:r>
              <w:rPr>
                <w:rFonts w:ascii="宋体" w:hAnsi="宋体" w:hint="eastAsia"/>
                <w:kern w:val="0"/>
              </w:rPr>
              <w:t>个千兆网络接口，硬件</w:t>
            </w:r>
            <w:r>
              <w:rPr>
                <w:kern w:val="0"/>
              </w:rPr>
              <w:t>RAID</w:t>
            </w:r>
            <w:r>
              <w:rPr>
                <w:rFonts w:ascii="宋体" w:hAnsi="宋体" w:hint="eastAsia"/>
                <w:kern w:val="0"/>
              </w:rPr>
              <w:t>，配置</w:t>
            </w:r>
            <w:r>
              <w:rPr>
                <w:kern w:val="0"/>
              </w:rPr>
              <w:t>windows</w:t>
            </w:r>
            <w:r>
              <w:rPr>
                <w:rFonts w:ascii="宋体" w:hAnsi="宋体" w:hint="eastAsia"/>
                <w:kern w:val="0"/>
              </w:rPr>
              <w:t>操作系统，支持</w:t>
            </w:r>
            <w:proofErr w:type="spellStart"/>
            <w:r>
              <w:rPr>
                <w:kern w:val="0"/>
              </w:rPr>
              <w:t>linux</w:t>
            </w:r>
            <w:proofErr w:type="spellEnd"/>
            <w:r>
              <w:rPr>
                <w:rFonts w:ascii="宋体" w:hAnsi="宋体" w:hint="eastAsia"/>
                <w:kern w:val="0"/>
              </w:rPr>
              <w:t>操作系统</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★缓存</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提供</w:t>
            </w:r>
            <w:r>
              <w:rPr>
                <w:kern w:val="0"/>
              </w:rPr>
              <w:t>≥8G</w:t>
            </w:r>
            <w:r>
              <w:rPr>
                <w:rFonts w:ascii="宋体" w:hAnsi="宋体" w:hint="eastAsia"/>
                <w:kern w:val="0"/>
              </w:rPr>
              <w:t>高速缓存，最大可扩容</w:t>
            </w:r>
            <w:r>
              <w:rPr>
                <w:kern w:val="0"/>
              </w:rPr>
              <w:t>≥192GB</w:t>
            </w:r>
          </w:p>
        </w:tc>
      </w:tr>
      <w:tr w:rsidR="00F8039C">
        <w:tblPrEx>
          <w:tblCellMar>
            <w:top w:w="0" w:type="dxa"/>
            <w:bottom w:w="0" w:type="dxa"/>
          </w:tblCellMar>
        </w:tblPrEx>
        <w:trPr>
          <w:trHeight w:val="402"/>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r>
              <w:rPr>
                <w:rFonts w:hint="eastAsia"/>
              </w:rPr>
              <w:t>★本次配置</w:t>
            </w:r>
          </w:p>
        </w:tc>
        <w:tc>
          <w:tcPr>
            <w:tcW w:w="7371" w:type="dxa"/>
            <w:tcBorders>
              <w:top w:val="nil"/>
              <w:left w:val="nil"/>
              <w:bottom w:val="single" w:sz="4" w:space="0" w:color="auto"/>
              <w:right w:val="single" w:sz="4" w:space="0" w:color="auto"/>
            </w:tcBorders>
            <w:vAlign w:val="center"/>
          </w:tcPr>
          <w:p w:rsidR="00F8039C" w:rsidRDefault="000317BF">
            <w:r>
              <w:rPr>
                <w:rFonts w:hint="eastAsia"/>
              </w:rPr>
              <w:t>提供</w:t>
            </w:r>
            <w:r>
              <w:t>≥5TB</w:t>
            </w:r>
            <w:r>
              <w:rPr>
                <w:rFonts w:hint="eastAsia"/>
              </w:rPr>
              <w:t>容量许可，支持</w:t>
            </w:r>
            <w:proofErr w:type="gramStart"/>
            <w:r>
              <w:rPr>
                <w:rFonts w:hint="eastAsia"/>
              </w:rPr>
              <w:t>虚拟带库介质</w:t>
            </w:r>
            <w:proofErr w:type="gramEnd"/>
            <w:r>
              <w:rPr>
                <w:rFonts w:hint="eastAsia"/>
              </w:rPr>
              <w:t>转换；</w:t>
            </w:r>
          </w:p>
        </w:tc>
      </w:tr>
      <w:tr w:rsidR="00F8039C">
        <w:tblPrEx>
          <w:tblCellMar>
            <w:top w:w="0" w:type="dxa"/>
            <w:bottom w:w="0" w:type="dxa"/>
          </w:tblCellMar>
        </w:tblPrEx>
        <w:trPr>
          <w:trHeight w:val="449"/>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b/>
                <w:kern w:val="0"/>
              </w:rPr>
            </w:pPr>
            <w:r>
              <w:rPr>
                <w:rFonts w:hint="eastAsia"/>
                <w:kern w:val="0"/>
              </w:rPr>
              <w:t>★异构客户端</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hint="eastAsia"/>
                <w:kern w:val="0"/>
              </w:rPr>
              <w:t>提供</w:t>
            </w:r>
            <w:r>
              <w:rPr>
                <w:kern w:val="0"/>
              </w:rPr>
              <w:t>≥7</w:t>
            </w:r>
            <w:r>
              <w:rPr>
                <w:rFonts w:hint="eastAsia"/>
                <w:kern w:val="0"/>
              </w:rPr>
              <w:t>个异构客户端备份许可，支持至少</w:t>
            </w:r>
            <w:r>
              <w:rPr>
                <w:kern w:val="0"/>
              </w:rPr>
              <w:t>100</w:t>
            </w:r>
            <w:r>
              <w:rPr>
                <w:rFonts w:hint="eastAsia"/>
                <w:kern w:val="0"/>
              </w:rPr>
              <w:t>个异构客户端备份许可</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val="restart"/>
            <w:tcBorders>
              <w:top w:val="nil"/>
              <w:left w:val="single" w:sz="4" w:space="0" w:color="auto"/>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★备份存储系统</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提供文件、数据库和操作系统的备份功能</w:t>
            </w:r>
          </w:p>
        </w:tc>
      </w:tr>
      <w:tr w:rsidR="00F8039C">
        <w:tblPrEx>
          <w:tblCellMar>
            <w:top w:w="0" w:type="dxa"/>
            <w:bottom w:w="0" w:type="dxa"/>
          </w:tblCellMar>
        </w:tblPrEx>
        <w:trPr>
          <w:trHeight w:val="305"/>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支持在线备份、增量备份和合成备份，支持</w:t>
            </w:r>
            <w:r>
              <w:rPr>
                <w:kern w:val="0"/>
              </w:rPr>
              <w:t>LAN</w:t>
            </w:r>
            <w:r>
              <w:rPr>
                <w:rFonts w:ascii="宋体" w:hAnsi="宋体" w:hint="eastAsia"/>
                <w:kern w:val="0"/>
              </w:rPr>
              <w:t>备份、</w:t>
            </w:r>
            <w:r>
              <w:rPr>
                <w:kern w:val="0"/>
              </w:rPr>
              <w:t>LAN-Free</w:t>
            </w:r>
            <w:r>
              <w:rPr>
                <w:rFonts w:ascii="宋体" w:hAnsi="宋体" w:hint="eastAsia"/>
                <w:kern w:val="0"/>
              </w:rPr>
              <w:t>备份</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w:t>
            </w:r>
            <w:r>
              <w:rPr>
                <w:kern w:val="0"/>
              </w:rPr>
              <w:t>VTL</w:t>
            </w:r>
            <w:r>
              <w:rPr>
                <w:rFonts w:ascii="宋体" w:hAnsi="宋体" w:hint="eastAsia"/>
                <w:kern w:val="0"/>
              </w:rPr>
              <w:t>与智能磁盘备份，支持重复数据删除功能</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支持大于等于</w:t>
            </w:r>
            <w:r>
              <w:rPr>
                <w:kern w:val="0"/>
              </w:rPr>
              <w:t>1024TB</w:t>
            </w:r>
            <w:r>
              <w:rPr>
                <w:rFonts w:ascii="宋体" w:hAnsi="宋体" w:hint="eastAsia"/>
                <w:kern w:val="0"/>
              </w:rPr>
              <w:t>包含重复数据删除功能的备份许可</w:t>
            </w:r>
          </w:p>
        </w:tc>
      </w:tr>
      <w:tr w:rsidR="00F8039C">
        <w:tblPrEx>
          <w:tblCellMar>
            <w:top w:w="0" w:type="dxa"/>
            <w:bottom w:w="0" w:type="dxa"/>
          </w:tblCellMar>
        </w:tblPrEx>
        <w:trPr>
          <w:trHeight w:val="333"/>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★客户端支持</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w:t>
            </w:r>
            <w:r>
              <w:rPr>
                <w:kern w:val="0"/>
              </w:rPr>
              <w:t>Windows</w:t>
            </w:r>
            <w:r>
              <w:rPr>
                <w:rFonts w:ascii="宋体" w:hAnsi="宋体" w:hint="eastAsia"/>
                <w:kern w:val="0"/>
              </w:rPr>
              <w:t>、</w:t>
            </w:r>
            <w:r>
              <w:rPr>
                <w:kern w:val="0"/>
              </w:rPr>
              <w:t>Linux</w:t>
            </w:r>
            <w:r>
              <w:rPr>
                <w:rFonts w:ascii="宋体" w:hAnsi="宋体" w:hint="eastAsia"/>
                <w:kern w:val="0"/>
              </w:rPr>
              <w:t>、</w:t>
            </w:r>
            <w:r>
              <w:rPr>
                <w:kern w:val="0"/>
              </w:rPr>
              <w:t>AIX</w:t>
            </w:r>
            <w:r>
              <w:rPr>
                <w:rFonts w:ascii="宋体" w:hAnsi="宋体" w:hint="eastAsia"/>
                <w:kern w:val="0"/>
              </w:rPr>
              <w:t>、</w:t>
            </w:r>
            <w:r>
              <w:rPr>
                <w:kern w:val="0"/>
              </w:rPr>
              <w:t>HP-Unix</w:t>
            </w:r>
            <w:r>
              <w:rPr>
                <w:rFonts w:ascii="宋体" w:hAnsi="宋体" w:hint="eastAsia"/>
                <w:kern w:val="0"/>
              </w:rPr>
              <w:t>、</w:t>
            </w:r>
            <w:proofErr w:type="spellStart"/>
            <w:r>
              <w:rPr>
                <w:kern w:val="0"/>
              </w:rPr>
              <w:t>Vmawre</w:t>
            </w:r>
            <w:proofErr w:type="spellEnd"/>
            <w:r>
              <w:rPr>
                <w:rFonts w:ascii="宋体" w:hAnsi="宋体" w:hint="eastAsia"/>
                <w:kern w:val="0"/>
              </w:rPr>
              <w:t>等各种异构客户端备份</w:t>
            </w:r>
          </w:p>
        </w:tc>
      </w:tr>
      <w:tr w:rsidR="00F8039C">
        <w:tblPrEx>
          <w:tblCellMar>
            <w:top w:w="0" w:type="dxa"/>
            <w:bottom w:w="0" w:type="dxa"/>
          </w:tblCellMar>
        </w:tblPrEx>
        <w:trPr>
          <w:trHeight w:val="163"/>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★数据库支持</w:t>
            </w:r>
          </w:p>
        </w:tc>
        <w:tc>
          <w:tcPr>
            <w:tcW w:w="7371" w:type="dxa"/>
            <w:tcBorders>
              <w:top w:val="nil"/>
              <w:left w:val="nil"/>
              <w:bottom w:val="single" w:sz="4" w:space="0" w:color="auto"/>
              <w:right w:val="single" w:sz="4" w:space="0" w:color="auto"/>
            </w:tcBorders>
            <w:vAlign w:val="center"/>
          </w:tcPr>
          <w:p w:rsidR="00F8039C" w:rsidRDefault="000317BF">
            <w:r>
              <w:rPr>
                <w:rFonts w:hint="eastAsia"/>
              </w:rPr>
              <w:t>配</w:t>
            </w:r>
            <w:r>
              <w:rPr>
                <w:rFonts w:ascii="宋体" w:hAnsi="宋体" w:hint="eastAsia"/>
                <w:kern w:val="0"/>
              </w:rPr>
              <w:t>置</w:t>
            </w:r>
            <w:r>
              <w:rPr>
                <w:rFonts w:ascii="宋体" w:hAnsi="宋体"/>
                <w:kern w:val="0"/>
              </w:rPr>
              <w:t>Oracle</w:t>
            </w:r>
            <w:r>
              <w:rPr>
                <w:rFonts w:ascii="宋体" w:hAnsi="宋体" w:hint="eastAsia"/>
                <w:kern w:val="0"/>
              </w:rPr>
              <w:t>企业版插件许可</w:t>
            </w:r>
            <w:r>
              <w:rPr>
                <w:rFonts w:ascii="宋体" w:hAnsi="宋体"/>
                <w:kern w:val="0"/>
              </w:rPr>
              <w:t>for AIX</w:t>
            </w:r>
            <w:r>
              <w:rPr>
                <w:rFonts w:ascii="宋体" w:hAnsi="宋体" w:hint="eastAsia"/>
                <w:kern w:val="0"/>
              </w:rPr>
              <w:t>；支持</w:t>
            </w:r>
            <w:r>
              <w:t>DB2/Informix/Domino/Exchange/</w:t>
            </w:r>
          </w:p>
          <w:p w:rsidR="00F8039C" w:rsidRDefault="000317BF">
            <w:pPr>
              <w:rPr>
                <w:rFonts w:eastAsia="Times New Roman"/>
              </w:rPr>
            </w:pPr>
            <w:proofErr w:type="spellStart"/>
            <w:r>
              <w:t>Sharepoint</w:t>
            </w:r>
            <w:proofErr w:type="spellEnd"/>
            <w:r>
              <w:t>/MSSQL/MySQL/</w:t>
            </w:r>
            <w:proofErr w:type="spellStart"/>
            <w:r>
              <w:t>PostgreSQL</w:t>
            </w:r>
            <w:proofErr w:type="spellEnd"/>
            <w:r>
              <w:t>/Oracle/SAP Oracle/Sybase/Teradata</w:t>
            </w:r>
            <w:r>
              <w:rPr>
                <w:rFonts w:hint="eastAsia"/>
              </w:rPr>
              <w:t>等数据库系统备份</w:t>
            </w:r>
          </w:p>
        </w:tc>
      </w:tr>
      <w:tr w:rsidR="00F8039C">
        <w:tblPrEx>
          <w:tblCellMar>
            <w:top w:w="0" w:type="dxa"/>
            <w:bottom w:w="0" w:type="dxa"/>
          </w:tblCellMar>
        </w:tblPrEx>
        <w:trPr>
          <w:trHeight w:val="323"/>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备份触发机制</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基于时间点的备份触发机制，还支持基于事件的备份触发机制</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val="restart"/>
            <w:tcBorders>
              <w:top w:val="nil"/>
              <w:left w:val="single" w:sz="4" w:space="0" w:color="auto"/>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易用性</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统一用户管理界面，支持中英文图形管理界面</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无需手工配置，在菜单中配置代理和参数调整</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可通过图形界面将索引从磁带中恢复并重建</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★数据库备份不需要编辑脚本，纯图形</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具备备份自动化功能，具备自动化通知功能</w:t>
            </w:r>
          </w:p>
        </w:tc>
      </w:tr>
      <w:tr w:rsidR="00F8039C">
        <w:tblPrEx>
          <w:tblCellMar>
            <w:top w:w="0" w:type="dxa"/>
            <w:bottom w:w="0" w:type="dxa"/>
          </w:tblCellMar>
        </w:tblPrEx>
        <w:trPr>
          <w:trHeight w:val="209"/>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★具备</w:t>
            </w:r>
            <w:r>
              <w:rPr>
                <w:rFonts w:ascii="宋体" w:hAnsi="宋体"/>
                <w:kern w:val="0"/>
              </w:rPr>
              <w:t>29</w:t>
            </w:r>
            <w:r>
              <w:rPr>
                <w:rFonts w:ascii="宋体" w:hAnsi="宋体" w:hint="eastAsia"/>
                <w:kern w:val="0"/>
              </w:rPr>
              <w:t>种以上报表功能</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支持设备的自动发现和配置功能</w:t>
            </w:r>
          </w:p>
        </w:tc>
      </w:tr>
      <w:tr w:rsidR="00F8039C">
        <w:tblPrEx>
          <w:tblCellMar>
            <w:top w:w="0" w:type="dxa"/>
            <w:bottom w:w="0" w:type="dxa"/>
          </w:tblCellMar>
        </w:tblPrEx>
        <w:trPr>
          <w:trHeight w:val="300"/>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vMerge/>
            <w:tcBorders>
              <w:top w:val="nil"/>
              <w:left w:val="single" w:sz="4" w:space="0" w:color="auto"/>
              <w:bottom w:val="single" w:sz="4" w:space="0" w:color="auto"/>
              <w:right w:val="single" w:sz="4" w:space="0" w:color="auto"/>
            </w:tcBorders>
            <w:vAlign w:val="center"/>
          </w:tcPr>
          <w:p w:rsidR="00F8039C" w:rsidRDefault="00F8039C">
            <w:pPr>
              <w:widowControl/>
              <w:rPr>
                <w:kern w:val="0"/>
              </w:rPr>
            </w:pP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支持操作系统分区一键式快速恢复</w:t>
            </w:r>
          </w:p>
        </w:tc>
      </w:tr>
      <w:tr w:rsidR="00F8039C">
        <w:tblPrEx>
          <w:tblCellMar>
            <w:top w:w="0" w:type="dxa"/>
            <w:bottom w:w="0" w:type="dxa"/>
          </w:tblCellMar>
        </w:tblPrEx>
        <w:trPr>
          <w:trHeight w:val="804"/>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介质控制功能</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支持备份介质的自动回收，支持通过</w:t>
            </w:r>
            <w:r>
              <w:rPr>
                <w:kern w:val="0"/>
              </w:rPr>
              <w:t>SAN</w:t>
            </w:r>
            <w:r>
              <w:rPr>
                <w:rFonts w:ascii="宋体" w:hAnsi="宋体" w:hint="eastAsia"/>
                <w:kern w:val="0"/>
              </w:rPr>
              <w:t>网络或</w:t>
            </w:r>
            <w:r>
              <w:rPr>
                <w:kern w:val="0"/>
              </w:rPr>
              <w:t>LAN</w:t>
            </w:r>
            <w:r>
              <w:rPr>
                <w:rFonts w:ascii="宋体" w:hAnsi="宋体" w:hint="eastAsia"/>
                <w:kern w:val="0"/>
              </w:rPr>
              <w:t>网络、可跨网段实现文件系统及数据库数据的全自动备份，且支持全备份的自动合并，支持对存储池进行虚拟化管理，支持数据格式转换和加密</w:t>
            </w:r>
          </w:p>
        </w:tc>
      </w:tr>
      <w:tr w:rsidR="00F8039C">
        <w:tblPrEx>
          <w:tblCellMar>
            <w:top w:w="0" w:type="dxa"/>
            <w:bottom w:w="0" w:type="dxa"/>
          </w:tblCellMar>
        </w:tblPrEx>
        <w:trPr>
          <w:trHeight w:val="1191"/>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网络支持</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能通过</w:t>
            </w:r>
            <w:r>
              <w:rPr>
                <w:kern w:val="0"/>
              </w:rPr>
              <w:t>SAN</w:t>
            </w:r>
            <w:r>
              <w:rPr>
                <w:rFonts w:ascii="宋体" w:hAnsi="宋体" w:hint="eastAsia"/>
                <w:kern w:val="0"/>
              </w:rPr>
              <w:t>网络或</w:t>
            </w:r>
            <w:r>
              <w:rPr>
                <w:kern w:val="0"/>
              </w:rPr>
              <w:t>LAN</w:t>
            </w:r>
            <w:r>
              <w:rPr>
                <w:rFonts w:ascii="宋体" w:hAnsi="宋体" w:hint="eastAsia"/>
                <w:kern w:val="0"/>
              </w:rPr>
              <w:t>网络实现文件系统及数据库数据的全自动备份，支持</w:t>
            </w:r>
            <w:r>
              <w:rPr>
                <w:kern w:val="0"/>
              </w:rPr>
              <w:t>ORACLE</w:t>
            </w:r>
            <w:r>
              <w:rPr>
                <w:rFonts w:ascii="宋体" w:hAnsi="宋体" w:hint="eastAsia"/>
                <w:kern w:val="0"/>
              </w:rPr>
              <w:t>、</w:t>
            </w:r>
            <w:r>
              <w:rPr>
                <w:kern w:val="0"/>
              </w:rPr>
              <w:t>SYBASE</w:t>
            </w:r>
            <w:r>
              <w:rPr>
                <w:rFonts w:ascii="宋体" w:hAnsi="宋体" w:hint="eastAsia"/>
                <w:kern w:val="0"/>
              </w:rPr>
              <w:t>、</w:t>
            </w:r>
            <w:r>
              <w:rPr>
                <w:kern w:val="0"/>
              </w:rPr>
              <w:t>SQLSERVER</w:t>
            </w:r>
            <w:r>
              <w:rPr>
                <w:rFonts w:ascii="宋体" w:hAnsi="宋体" w:hint="eastAsia"/>
                <w:kern w:val="0"/>
              </w:rPr>
              <w:t>、</w:t>
            </w:r>
            <w:r>
              <w:rPr>
                <w:kern w:val="0"/>
              </w:rPr>
              <w:t>AIX</w:t>
            </w:r>
            <w:r>
              <w:rPr>
                <w:rFonts w:ascii="宋体" w:hAnsi="宋体" w:hint="eastAsia"/>
                <w:kern w:val="0"/>
              </w:rPr>
              <w:t>、</w:t>
            </w:r>
            <w:r>
              <w:rPr>
                <w:kern w:val="0"/>
              </w:rPr>
              <w:t>DB2</w:t>
            </w:r>
            <w:r>
              <w:rPr>
                <w:rFonts w:ascii="宋体" w:hAnsi="宋体" w:hint="eastAsia"/>
                <w:kern w:val="0"/>
              </w:rPr>
              <w:t>等主流的数据库系统，支持归档日志文件的在线自动删除功能，具备跨网段的备份功能，且支持将全备份及增量备份进行合并备份的功能，无需应用服务器的干预</w:t>
            </w:r>
          </w:p>
        </w:tc>
      </w:tr>
      <w:tr w:rsidR="00F8039C">
        <w:tblPrEx>
          <w:tblCellMar>
            <w:top w:w="0" w:type="dxa"/>
            <w:bottom w:w="0" w:type="dxa"/>
          </w:tblCellMar>
        </w:tblPrEx>
        <w:trPr>
          <w:trHeight w:val="1268"/>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有效性</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实现数据库的完全恢复，即将数据库恢复到最新时间点；实现基于日志实现不同时间点的数据库恢复，支持数据库数据自动逻辑导出及导入，根据需要对所备份的数据进行自动恢复，实现对不同时间的备份内容有选择的进行恢复</w:t>
            </w:r>
          </w:p>
        </w:tc>
      </w:tr>
      <w:tr w:rsidR="00F8039C">
        <w:tblPrEx>
          <w:tblCellMar>
            <w:top w:w="0" w:type="dxa"/>
            <w:bottom w:w="0" w:type="dxa"/>
          </w:tblCellMar>
        </w:tblPrEx>
        <w:trPr>
          <w:trHeight w:val="209"/>
        </w:trPr>
        <w:tc>
          <w:tcPr>
            <w:tcW w:w="1277" w:type="dxa"/>
            <w:vMerge/>
            <w:tcBorders>
              <w:top w:val="nil"/>
              <w:left w:val="single" w:sz="4" w:space="0" w:color="auto"/>
              <w:bottom w:val="single" w:sz="4" w:space="0" w:color="000000"/>
              <w:right w:val="single" w:sz="4" w:space="0" w:color="auto"/>
            </w:tcBorders>
            <w:vAlign w:val="center"/>
          </w:tcPr>
          <w:p w:rsidR="00F8039C" w:rsidRDefault="00F8039C">
            <w:pPr>
              <w:widowControl/>
              <w:jc w:val="left"/>
              <w:rPr>
                <w:kern w:val="0"/>
              </w:rPr>
            </w:pPr>
          </w:p>
        </w:tc>
        <w:tc>
          <w:tcPr>
            <w:tcW w:w="1701" w:type="dxa"/>
            <w:tcBorders>
              <w:top w:val="nil"/>
              <w:left w:val="nil"/>
              <w:bottom w:val="single" w:sz="4" w:space="0" w:color="auto"/>
              <w:right w:val="single" w:sz="4" w:space="0" w:color="auto"/>
            </w:tcBorders>
            <w:vAlign w:val="center"/>
          </w:tcPr>
          <w:p w:rsidR="00F8039C" w:rsidRDefault="000317BF">
            <w:pPr>
              <w:widowControl/>
              <w:rPr>
                <w:kern w:val="0"/>
              </w:rPr>
            </w:pPr>
            <w:r>
              <w:rPr>
                <w:rFonts w:ascii="宋体" w:hAnsi="宋体" w:hint="eastAsia"/>
                <w:kern w:val="0"/>
              </w:rPr>
              <w:t>服务</w:t>
            </w:r>
          </w:p>
        </w:tc>
        <w:tc>
          <w:tcPr>
            <w:tcW w:w="7371" w:type="dxa"/>
            <w:tcBorders>
              <w:top w:val="nil"/>
              <w:left w:val="nil"/>
              <w:bottom w:val="single" w:sz="4" w:space="0" w:color="auto"/>
              <w:right w:val="single" w:sz="4" w:space="0" w:color="auto"/>
            </w:tcBorders>
            <w:vAlign w:val="center"/>
          </w:tcPr>
          <w:p w:rsidR="00F8039C" w:rsidRDefault="000317BF">
            <w:pPr>
              <w:widowControl/>
              <w:jc w:val="left"/>
              <w:rPr>
                <w:kern w:val="0"/>
              </w:rPr>
            </w:pPr>
            <w:r>
              <w:rPr>
                <w:rFonts w:ascii="宋体" w:hAnsi="宋体" w:hint="eastAsia"/>
                <w:kern w:val="0"/>
              </w:rPr>
              <w:t>提供</w:t>
            </w:r>
            <w:r>
              <w:rPr>
                <w:kern w:val="0"/>
              </w:rPr>
              <w:t>3</w:t>
            </w:r>
            <w:r>
              <w:rPr>
                <w:rFonts w:ascii="宋体" w:hAnsi="宋体" w:hint="eastAsia"/>
                <w:kern w:val="0"/>
              </w:rPr>
              <w:t>年</w:t>
            </w:r>
            <w:r>
              <w:rPr>
                <w:kern w:val="0"/>
              </w:rPr>
              <w:t>7*24</w:t>
            </w:r>
            <w:r>
              <w:rPr>
                <w:rFonts w:ascii="宋体" w:hAnsi="宋体" w:hint="eastAsia"/>
                <w:kern w:val="0"/>
              </w:rPr>
              <w:t>小时原厂免费上门服务，投标时提供原厂授权承诺函</w:t>
            </w:r>
          </w:p>
        </w:tc>
      </w:tr>
    </w:tbl>
    <w:p w:rsidR="00F8039C" w:rsidRDefault="00F8039C">
      <w:pPr>
        <w:tabs>
          <w:tab w:val="left" w:pos="1185"/>
        </w:tabs>
      </w:pPr>
    </w:p>
    <w:p w:rsidR="00F8039C" w:rsidRDefault="000317BF">
      <w:pPr>
        <w:pStyle w:val="3"/>
        <w:numPr>
          <w:ilvl w:val="0"/>
          <w:numId w:val="2"/>
        </w:numPr>
        <w:spacing w:line="360" w:lineRule="auto"/>
      </w:pPr>
      <w:r>
        <w:rPr>
          <w:rFonts w:hint="eastAsia"/>
        </w:rPr>
        <w:lastRenderedPageBreak/>
        <w:t>基本服务要求</w:t>
      </w:r>
    </w:p>
    <w:p w:rsidR="00F8039C" w:rsidRDefault="000317BF">
      <w:pPr>
        <w:spacing w:line="360" w:lineRule="auto"/>
        <w:ind w:firstLineChars="200" w:firstLine="480"/>
        <w:rPr>
          <w:sz w:val="24"/>
        </w:rPr>
      </w:pPr>
      <w:r>
        <w:rPr>
          <w:sz w:val="24"/>
        </w:rPr>
        <w:t>1</w:t>
      </w:r>
      <w:r>
        <w:rPr>
          <w:rFonts w:hint="eastAsia"/>
          <w:sz w:val="24"/>
        </w:rPr>
        <w:t>、供货要求：中标供应商应在通知中标后</w:t>
      </w:r>
      <w:r>
        <w:rPr>
          <w:sz w:val="24"/>
        </w:rPr>
        <w:t>3</w:t>
      </w:r>
      <w:proofErr w:type="gramStart"/>
      <w:r>
        <w:rPr>
          <w:rFonts w:hint="eastAsia"/>
          <w:sz w:val="24"/>
        </w:rPr>
        <w:t>日内与</w:t>
      </w:r>
      <w:proofErr w:type="gramEnd"/>
      <w:r>
        <w:rPr>
          <w:rFonts w:hint="eastAsia"/>
          <w:sz w:val="24"/>
        </w:rPr>
        <w:t>招标人签订合同，签订合同时需提供原厂商针对此项目授权与服务承诺函，并在合同签订之日起</w:t>
      </w:r>
      <w:r>
        <w:rPr>
          <w:sz w:val="24"/>
        </w:rPr>
        <w:t>30</w:t>
      </w:r>
      <w:r>
        <w:rPr>
          <w:rFonts w:hint="eastAsia"/>
          <w:sz w:val="24"/>
        </w:rPr>
        <w:t>个工作日内安装调试完毕。</w:t>
      </w:r>
    </w:p>
    <w:p w:rsidR="00F8039C" w:rsidRDefault="000317BF">
      <w:pPr>
        <w:spacing w:line="360" w:lineRule="auto"/>
        <w:ind w:firstLineChars="200" w:firstLine="480"/>
        <w:rPr>
          <w:sz w:val="24"/>
        </w:rPr>
      </w:pPr>
      <w:r>
        <w:rPr>
          <w:sz w:val="24"/>
        </w:rPr>
        <w:t>2.</w:t>
      </w:r>
      <w:r>
        <w:rPr>
          <w:rFonts w:hint="eastAsia"/>
          <w:sz w:val="24"/>
        </w:rPr>
        <w:t>设备保修期：提供</w:t>
      </w:r>
      <w:r>
        <w:rPr>
          <w:b/>
          <w:sz w:val="24"/>
        </w:rPr>
        <w:t>3</w:t>
      </w:r>
      <w:r>
        <w:rPr>
          <w:rFonts w:hint="eastAsia"/>
          <w:sz w:val="24"/>
        </w:rPr>
        <w:t>年免费保修。</w:t>
      </w:r>
    </w:p>
    <w:p w:rsidR="00F8039C" w:rsidRDefault="000317BF">
      <w:pPr>
        <w:spacing w:line="360" w:lineRule="auto"/>
        <w:ind w:firstLineChars="200" w:firstLine="480"/>
        <w:rPr>
          <w:sz w:val="24"/>
        </w:rPr>
      </w:pPr>
      <w:r>
        <w:rPr>
          <w:sz w:val="24"/>
        </w:rPr>
        <w:t>3.</w:t>
      </w:r>
      <w:r>
        <w:rPr>
          <w:rFonts w:hint="eastAsia"/>
          <w:sz w:val="24"/>
        </w:rPr>
        <w:t>设备维修：必须由原厂或经销商指定的技术人员直接提供保修、维修、免费技术培训服务。并提供合法、有效的保修、维修证明。</w:t>
      </w:r>
    </w:p>
    <w:p w:rsidR="00F8039C" w:rsidRDefault="000317BF">
      <w:pPr>
        <w:spacing w:line="360" w:lineRule="auto"/>
        <w:ind w:firstLineChars="200" w:firstLine="480"/>
        <w:rPr>
          <w:sz w:val="24"/>
        </w:rPr>
      </w:pPr>
      <w:r>
        <w:rPr>
          <w:sz w:val="24"/>
        </w:rPr>
        <w:t>4.</w:t>
      </w:r>
      <w:r>
        <w:rPr>
          <w:rFonts w:hint="eastAsia"/>
          <w:sz w:val="24"/>
        </w:rPr>
        <w:t>设备出现故障时，接到报</w:t>
      </w:r>
      <w:proofErr w:type="gramStart"/>
      <w:r>
        <w:rPr>
          <w:rFonts w:hint="eastAsia"/>
          <w:sz w:val="24"/>
        </w:rPr>
        <w:t>障通知</w:t>
      </w:r>
      <w:proofErr w:type="gramEnd"/>
      <w:r>
        <w:rPr>
          <w:rFonts w:hint="eastAsia"/>
          <w:sz w:val="24"/>
        </w:rPr>
        <w:t>后，</w:t>
      </w:r>
      <w:r>
        <w:rPr>
          <w:sz w:val="24"/>
        </w:rPr>
        <w:t>1</w:t>
      </w:r>
      <w:r>
        <w:rPr>
          <w:rFonts w:hint="eastAsia"/>
          <w:sz w:val="24"/>
        </w:rPr>
        <w:t>小时响应，</w:t>
      </w:r>
      <w:r>
        <w:rPr>
          <w:sz w:val="24"/>
        </w:rPr>
        <w:t>8</w:t>
      </w:r>
      <w:r>
        <w:rPr>
          <w:rFonts w:hint="eastAsia"/>
          <w:sz w:val="24"/>
        </w:rPr>
        <w:t>小时维修到位，消耗品和零配件供应一周内能到货。保修期内如同</w:t>
      </w:r>
      <w:proofErr w:type="gramStart"/>
      <w:r>
        <w:rPr>
          <w:rFonts w:hint="eastAsia"/>
          <w:sz w:val="24"/>
        </w:rPr>
        <w:t>一</w:t>
      </w:r>
      <w:proofErr w:type="gramEnd"/>
      <w:r>
        <w:rPr>
          <w:rFonts w:hint="eastAsia"/>
          <w:sz w:val="24"/>
        </w:rPr>
        <w:t>故障发生三次，或在</w:t>
      </w:r>
      <w:r>
        <w:rPr>
          <w:sz w:val="24"/>
        </w:rPr>
        <w:t>2</w:t>
      </w:r>
      <w:r>
        <w:rPr>
          <w:rFonts w:hint="eastAsia"/>
          <w:sz w:val="24"/>
        </w:rPr>
        <w:t>月内无法修复，供应商无条件换货，立即更换新机。如保修期内因故障停机，按停机时间的双倍顺延保修期。保修期结束</w:t>
      </w:r>
      <w:r>
        <w:rPr>
          <w:rFonts w:hint="eastAsia"/>
          <w:sz w:val="24"/>
        </w:rPr>
        <w:t>后，供应商仍应负责提供终身维修服务，但只能收取配件费。</w:t>
      </w:r>
    </w:p>
    <w:p w:rsidR="00F8039C" w:rsidRDefault="000317BF">
      <w:pPr>
        <w:spacing w:line="360" w:lineRule="auto"/>
        <w:ind w:firstLineChars="200" w:firstLine="480"/>
        <w:rPr>
          <w:sz w:val="24"/>
        </w:rPr>
      </w:pPr>
      <w:r>
        <w:rPr>
          <w:sz w:val="24"/>
        </w:rPr>
        <w:t>5</w:t>
      </w:r>
      <w:r>
        <w:rPr>
          <w:rFonts w:hint="eastAsia"/>
          <w:sz w:val="24"/>
        </w:rPr>
        <w:t>、对新型号机器，经销商必须提供原厂的技术图纸和维修手册，并免费进行技术培训（</w:t>
      </w:r>
      <w:r>
        <w:rPr>
          <w:sz w:val="24"/>
        </w:rPr>
        <w:t>2</w:t>
      </w:r>
      <w:r>
        <w:rPr>
          <w:rFonts w:hint="eastAsia"/>
          <w:sz w:val="24"/>
        </w:rPr>
        <w:t>人以上），直至熟练掌握。维修保障纳入质保金的考察项目，作为一项参考依据。</w:t>
      </w:r>
    </w:p>
    <w:p w:rsidR="00F8039C" w:rsidRDefault="000317BF">
      <w:pPr>
        <w:pStyle w:val="3"/>
        <w:spacing w:line="360" w:lineRule="auto"/>
      </w:pPr>
      <w:r>
        <w:rPr>
          <w:rFonts w:hint="eastAsia"/>
        </w:rPr>
        <w:t>（三）其他方面要求</w:t>
      </w:r>
    </w:p>
    <w:p w:rsidR="00F8039C" w:rsidRDefault="000317BF">
      <w:pPr>
        <w:spacing w:line="360" w:lineRule="auto"/>
        <w:rPr>
          <w:rFonts w:ascii="宋体"/>
          <w:b/>
          <w:sz w:val="28"/>
          <w:szCs w:val="28"/>
        </w:rPr>
      </w:pPr>
      <w:r>
        <w:rPr>
          <w:rFonts w:ascii="宋体" w:hAnsi="宋体" w:hint="eastAsia"/>
          <w:b/>
          <w:sz w:val="28"/>
          <w:szCs w:val="28"/>
        </w:rPr>
        <w:t>一、报价：</w:t>
      </w:r>
    </w:p>
    <w:p w:rsidR="00F8039C" w:rsidRDefault="000317BF">
      <w:pPr>
        <w:spacing w:line="360" w:lineRule="auto"/>
        <w:ind w:firstLineChars="200" w:firstLine="480"/>
        <w:rPr>
          <w:rFonts w:ascii="宋体"/>
          <w:b/>
          <w:sz w:val="24"/>
        </w:rPr>
      </w:pPr>
      <w:r>
        <w:rPr>
          <w:rFonts w:ascii="宋体" w:hAnsi="宋体" w:hint="eastAsia"/>
          <w:sz w:val="24"/>
          <w:szCs w:val="28"/>
        </w:rPr>
        <w:t>请投标人认真测算，项目实施</w:t>
      </w:r>
      <w:r>
        <w:rPr>
          <w:rFonts w:ascii="宋体" w:hAnsi="宋体" w:hint="eastAsia"/>
          <w:b/>
          <w:bCs/>
          <w:iCs/>
          <w:sz w:val="24"/>
          <w:szCs w:val="28"/>
          <w:u w:val="single"/>
        </w:rPr>
        <w:t>过程中所需的采购文件中未列出的相关辅助材料和配送、服务等其他一切费用应由供应商在报价时一并考虑。项目实施过程中不再单独结算。</w:t>
      </w:r>
    </w:p>
    <w:p w:rsidR="00F8039C" w:rsidRDefault="000317BF">
      <w:pPr>
        <w:spacing w:line="360" w:lineRule="auto"/>
        <w:jc w:val="left"/>
        <w:rPr>
          <w:rFonts w:ascii="宋体"/>
          <w:b/>
          <w:sz w:val="28"/>
        </w:rPr>
      </w:pPr>
      <w:r>
        <w:rPr>
          <w:rFonts w:ascii="宋体" w:hAnsi="宋体" w:hint="eastAsia"/>
          <w:b/>
          <w:sz w:val="28"/>
        </w:rPr>
        <w:t>二、资格证明文件：</w:t>
      </w:r>
    </w:p>
    <w:p w:rsidR="00F8039C" w:rsidRDefault="000317BF">
      <w:pPr>
        <w:spacing w:line="360" w:lineRule="auto"/>
        <w:ind w:firstLineChars="200" w:firstLine="480"/>
        <w:rPr>
          <w:rFonts w:ascii="宋体"/>
          <w:sz w:val="24"/>
        </w:rPr>
      </w:pPr>
      <w:r>
        <w:rPr>
          <w:rFonts w:ascii="宋体" w:hAnsi="宋体"/>
          <w:sz w:val="24"/>
        </w:rPr>
        <w:t>1</w:t>
      </w:r>
      <w:r>
        <w:rPr>
          <w:rFonts w:ascii="宋体" w:hAnsi="宋体" w:hint="eastAsia"/>
          <w:sz w:val="24"/>
        </w:rPr>
        <w:t>、企业法人营业执照（复印件）</w:t>
      </w:r>
    </w:p>
    <w:p w:rsidR="00F8039C" w:rsidRDefault="000317BF">
      <w:pPr>
        <w:spacing w:line="360" w:lineRule="auto"/>
        <w:ind w:firstLineChars="200" w:firstLine="480"/>
        <w:rPr>
          <w:rFonts w:ascii="宋体"/>
          <w:sz w:val="24"/>
        </w:rPr>
      </w:pPr>
      <w:r>
        <w:rPr>
          <w:rFonts w:ascii="宋体" w:hAnsi="宋体"/>
          <w:sz w:val="24"/>
        </w:rPr>
        <w:t>2</w:t>
      </w:r>
      <w:r>
        <w:rPr>
          <w:rFonts w:ascii="宋体" w:hAnsi="宋体" w:hint="eastAsia"/>
          <w:sz w:val="24"/>
        </w:rPr>
        <w:t>、税务登记证（复印件）</w:t>
      </w:r>
    </w:p>
    <w:p w:rsidR="00F8039C" w:rsidRDefault="000317BF">
      <w:pPr>
        <w:spacing w:line="360" w:lineRule="auto"/>
        <w:ind w:firstLineChars="200" w:firstLine="480"/>
        <w:rPr>
          <w:rFonts w:ascii="宋体"/>
          <w:sz w:val="24"/>
        </w:rPr>
      </w:pPr>
      <w:r>
        <w:rPr>
          <w:rFonts w:ascii="宋体" w:hAnsi="宋体"/>
          <w:sz w:val="24"/>
        </w:rPr>
        <w:t>3</w:t>
      </w:r>
      <w:r>
        <w:rPr>
          <w:rFonts w:ascii="宋体" w:hAnsi="宋体" w:hint="eastAsia"/>
          <w:sz w:val="24"/>
        </w:rPr>
        <w:t>、制造商所投产品代理授权书</w:t>
      </w:r>
    </w:p>
    <w:p w:rsidR="00F8039C" w:rsidRDefault="000317BF">
      <w:pPr>
        <w:spacing w:line="360" w:lineRule="auto"/>
        <w:ind w:firstLineChars="200" w:firstLine="480"/>
        <w:rPr>
          <w:rFonts w:ascii="宋体"/>
          <w:sz w:val="24"/>
        </w:rPr>
      </w:pPr>
      <w:r>
        <w:rPr>
          <w:rFonts w:ascii="宋体" w:hAnsi="宋体"/>
          <w:sz w:val="24"/>
        </w:rPr>
        <w:t>4</w:t>
      </w:r>
      <w:r>
        <w:rPr>
          <w:rFonts w:ascii="宋体" w:hAnsi="宋体" w:hint="eastAsia"/>
          <w:sz w:val="24"/>
        </w:rPr>
        <w:t>、法人代表授权书（原件）</w:t>
      </w:r>
    </w:p>
    <w:p w:rsidR="00F8039C" w:rsidRDefault="000317BF">
      <w:pPr>
        <w:spacing w:line="360" w:lineRule="auto"/>
        <w:ind w:firstLineChars="200" w:firstLine="480"/>
        <w:rPr>
          <w:rFonts w:ascii="宋体"/>
          <w:sz w:val="24"/>
        </w:rPr>
      </w:pPr>
      <w:r>
        <w:rPr>
          <w:rFonts w:ascii="宋体" w:hAnsi="宋体"/>
          <w:sz w:val="24"/>
        </w:rPr>
        <w:t>5</w:t>
      </w:r>
      <w:r>
        <w:rPr>
          <w:rFonts w:ascii="宋体" w:hAnsi="宋体" w:hint="eastAsia"/>
          <w:sz w:val="24"/>
        </w:rPr>
        <w:t>、供应商认为需要提供的其他资格证明文件和商务资料</w:t>
      </w:r>
    </w:p>
    <w:p w:rsidR="00F8039C" w:rsidRDefault="000317BF">
      <w:pPr>
        <w:spacing w:line="360" w:lineRule="auto"/>
        <w:rPr>
          <w:rFonts w:ascii="宋体"/>
          <w:b/>
          <w:sz w:val="28"/>
        </w:rPr>
      </w:pPr>
      <w:r>
        <w:rPr>
          <w:rFonts w:ascii="宋体" w:hAnsi="宋体" w:hint="eastAsia"/>
          <w:b/>
          <w:sz w:val="28"/>
        </w:rPr>
        <w:lastRenderedPageBreak/>
        <w:t>三、产品质量证明文件：</w:t>
      </w:r>
    </w:p>
    <w:p w:rsidR="00F8039C" w:rsidRDefault="000317BF">
      <w:pPr>
        <w:spacing w:line="360" w:lineRule="auto"/>
        <w:ind w:firstLineChars="150" w:firstLine="360"/>
        <w:rPr>
          <w:rFonts w:ascii="宋体"/>
          <w:sz w:val="24"/>
        </w:rPr>
      </w:pPr>
      <w:r>
        <w:rPr>
          <w:rFonts w:ascii="宋体" w:hAnsi="宋体" w:hint="eastAsia"/>
          <w:sz w:val="24"/>
        </w:rPr>
        <w:t>交货时提供操作说明书、维修说明书、电路图、电气说明。</w:t>
      </w:r>
    </w:p>
    <w:p w:rsidR="00F8039C" w:rsidRDefault="000317BF">
      <w:pPr>
        <w:spacing w:line="360" w:lineRule="auto"/>
        <w:rPr>
          <w:rFonts w:ascii="宋体"/>
          <w:b/>
          <w:sz w:val="28"/>
        </w:rPr>
      </w:pPr>
      <w:r>
        <w:rPr>
          <w:rFonts w:ascii="宋体" w:hAnsi="宋体" w:hint="eastAsia"/>
          <w:b/>
          <w:sz w:val="28"/>
        </w:rPr>
        <w:t>四、运输、安装、调试：</w:t>
      </w:r>
    </w:p>
    <w:p w:rsidR="00F8039C" w:rsidRDefault="000317BF">
      <w:pPr>
        <w:spacing w:line="360" w:lineRule="auto"/>
        <w:ind w:firstLineChars="200" w:firstLine="480"/>
        <w:rPr>
          <w:rFonts w:ascii="宋体"/>
          <w:sz w:val="24"/>
        </w:rPr>
      </w:pPr>
      <w:r>
        <w:rPr>
          <w:rFonts w:ascii="宋体" w:hAnsi="宋体" w:hint="eastAsia"/>
          <w:sz w:val="24"/>
        </w:rPr>
        <w:t>中标供应商负责将货物运送到招标人指定地点，并提供原小机系统、虚拟化系统、存储系统设计、整合与集成，负责原有系统中数据库迁移、应用系统迁移与整体平台联调、性能优化等技术支持服务工作</w:t>
      </w:r>
      <w:r>
        <w:rPr>
          <w:rFonts w:ascii="宋体"/>
          <w:sz w:val="24"/>
        </w:rPr>
        <w:t>,</w:t>
      </w:r>
      <w:r>
        <w:rPr>
          <w:rFonts w:ascii="宋体" w:hAnsi="宋体" w:hint="eastAsia"/>
          <w:sz w:val="24"/>
        </w:rPr>
        <w:t>最终通过招标人及有关部门验收交付使用。</w:t>
      </w:r>
    </w:p>
    <w:p w:rsidR="00F8039C" w:rsidRDefault="000317BF">
      <w:pPr>
        <w:spacing w:line="360" w:lineRule="auto"/>
        <w:rPr>
          <w:rFonts w:ascii="宋体"/>
          <w:b/>
          <w:sz w:val="28"/>
        </w:rPr>
      </w:pPr>
      <w:r>
        <w:rPr>
          <w:rFonts w:ascii="宋体" w:hAnsi="宋体" w:hint="eastAsia"/>
          <w:b/>
          <w:sz w:val="28"/>
        </w:rPr>
        <w:t>五、培训：</w:t>
      </w:r>
    </w:p>
    <w:p w:rsidR="00F8039C" w:rsidRDefault="000317BF">
      <w:pPr>
        <w:spacing w:line="360" w:lineRule="auto"/>
        <w:ind w:firstLineChars="200" w:firstLine="480"/>
        <w:rPr>
          <w:rFonts w:ascii="宋体"/>
          <w:sz w:val="24"/>
        </w:rPr>
      </w:pPr>
      <w:r>
        <w:rPr>
          <w:rFonts w:ascii="宋体" w:hAnsi="宋体" w:hint="eastAsia"/>
          <w:sz w:val="24"/>
        </w:rPr>
        <w:t>由中标人负责对用户操作、维修人员的培训。</w:t>
      </w:r>
    </w:p>
    <w:p w:rsidR="00F8039C" w:rsidRDefault="000317BF">
      <w:pPr>
        <w:spacing w:line="360" w:lineRule="auto"/>
        <w:rPr>
          <w:rFonts w:ascii="宋体"/>
          <w:b/>
          <w:sz w:val="28"/>
        </w:rPr>
      </w:pPr>
      <w:r>
        <w:rPr>
          <w:rFonts w:ascii="宋体" w:hAnsi="宋体" w:hint="eastAsia"/>
          <w:b/>
          <w:sz w:val="28"/>
        </w:rPr>
        <w:t>六、交货时间：</w:t>
      </w:r>
    </w:p>
    <w:p w:rsidR="00F8039C" w:rsidRDefault="000317BF">
      <w:pPr>
        <w:spacing w:line="360" w:lineRule="auto"/>
        <w:ind w:firstLineChars="200" w:firstLine="480"/>
        <w:rPr>
          <w:rFonts w:ascii="宋体"/>
          <w:sz w:val="24"/>
        </w:rPr>
      </w:pPr>
      <w:r>
        <w:rPr>
          <w:rFonts w:ascii="宋体" w:hAnsi="宋体" w:hint="eastAsia"/>
          <w:sz w:val="24"/>
        </w:rPr>
        <w:t>在投标文件中注明交货时间。</w:t>
      </w:r>
    </w:p>
    <w:p w:rsidR="00F8039C" w:rsidRDefault="000317BF">
      <w:pPr>
        <w:spacing w:line="360" w:lineRule="auto"/>
        <w:rPr>
          <w:rFonts w:ascii="宋体"/>
          <w:b/>
          <w:sz w:val="28"/>
        </w:rPr>
      </w:pPr>
      <w:r>
        <w:rPr>
          <w:rFonts w:ascii="宋体" w:hAnsi="宋体" w:hint="eastAsia"/>
          <w:b/>
          <w:sz w:val="28"/>
        </w:rPr>
        <w:t>七、付款方式：</w:t>
      </w:r>
    </w:p>
    <w:p w:rsidR="00F8039C" w:rsidRDefault="000317BF">
      <w:pPr>
        <w:spacing w:line="360" w:lineRule="auto"/>
        <w:ind w:firstLineChars="200" w:firstLine="480"/>
        <w:rPr>
          <w:rFonts w:ascii="宋体"/>
          <w:sz w:val="24"/>
        </w:rPr>
      </w:pPr>
      <w:r>
        <w:rPr>
          <w:rFonts w:ascii="宋体" w:hAnsi="宋体" w:hint="eastAsia"/>
          <w:sz w:val="24"/>
        </w:rPr>
        <w:t>货到、安装、验收合格正常运行首付</w:t>
      </w:r>
      <w:r>
        <w:rPr>
          <w:rFonts w:ascii="宋体" w:hAnsi="宋体"/>
          <w:sz w:val="24"/>
        </w:rPr>
        <w:t>90%</w:t>
      </w:r>
      <w:r>
        <w:rPr>
          <w:rFonts w:ascii="宋体" w:hAnsi="宋体" w:hint="eastAsia"/>
          <w:sz w:val="24"/>
        </w:rPr>
        <w:t>，余款一年后支付。</w:t>
      </w:r>
    </w:p>
    <w:p w:rsidR="00F8039C" w:rsidRDefault="000317BF">
      <w:pPr>
        <w:spacing w:line="360" w:lineRule="auto"/>
        <w:rPr>
          <w:rFonts w:ascii="宋体"/>
          <w:b/>
          <w:sz w:val="28"/>
        </w:rPr>
      </w:pPr>
      <w:r>
        <w:rPr>
          <w:rFonts w:ascii="宋体" w:hAnsi="宋体" w:hint="eastAsia"/>
          <w:b/>
          <w:sz w:val="28"/>
        </w:rPr>
        <w:t>八、售后服务：</w:t>
      </w:r>
    </w:p>
    <w:p w:rsidR="00F8039C" w:rsidRDefault="000317BF">
      <w:pPr>
        <w:spacing w:line="360" w:lineRule="auto"/>
        <w:ind w:firstLineChars="200" w:firstLine="480"/>
        <w:rPr>
          <w:rFonts w:ascii="宋体"/>
          <w:sz w:val="24"/>
        </w:rPr>
      </w:pPr>
      <w:r>
        <w:rPr>
          <w:rFonts w:ascii="宋体" w:hAnsi="宋体"/>
          <w:sz w:val="24"/>
        </w:rPr>
        <w:t>1</w:t>
      </w:r>
      <w:r>
        <w:rPr>
          <w:rFonts w:ascii="宋体" w:hAnsi="宋体" w:hint="eastAsia"/>
          <w:sz w:val="24"/>
        </w:rPr>
        <w:t>、质保期：</w:t>
      </w:r>
      <w:r>
        <w:rPr>
          <w:rFonts w:ascii="宋体" w:hAnsi="宋体"/>
          <w:b/>
          <w:sz w:val="24"/>
          <w:u w:val="single"/>
        </w:rPr>
        <w:t>3</w:t>
      </w:r>
      <w:r>
        <w:rPr>
          <w:rFonts w:ascii="宋体" w:hAnsi="宋体" w:hint="eastAsia"/>
          <w:sz w:val="24"/>
        </w:rPr>
        <w:t>年免费维修，自验收报告确认签字日起，开始进入质保期。</w:t>
      </w:r>
    </w:p>
    <w:p w:rsidR="00F8039C" w:rsidRDefault="000317BF">
      <w:pPr>
        <w:spacing w:line="360" w:lineRule="auto"/>
        <w:ind w:firstLineChars="200" w:firstLine="480"/>
        <w:rPr>
          <w:rFonts w:ascii="宋体"/>
          <w:sz w:val="24"/>
        </w:rPr>
      </w:pPr>
      <w:r>
        <w:rPr>
          <w:rFonts w:ascii="宋体" w:hAnsi="宋体"/>
          <w:sz w:val="24"/>
        </w:rPr>
        <w:t>2</w:t>
      </w:r>
      <w:r>
        <w:rPr>
          <w:rFonts w:ascii="宋体" w:hAnsi="宋体" w:hint="eastAsia"/>
          <w:sz w:val="24"/>
        </w:rPr>
        <w:t>、接到保修请求，</w:t>
      </w:r>
      <w:r>
        <w:rPr>
          <w:rFonts w:ascii="宋体" w:hAnsi="宋体"/>
          <w:sz w:val="24"/>
        </w:rPr>
        <w:t>1</w:t>
      </w:r>
      <w:r>
        <w:rPr>
          <w:rFonts w:ascii="宋体" w:hAnsi="宋体" w:hint="eastAsia"/>
          <w:sz w:val="24"/>
        </w:rPr>
        <w:t>小时内响应，</w:t>
      </w:r>
      <w:r>
        <w:rPr>
          <w:rFonts w:ascii="宋体" w:hAnsi="宋体"/>
          <w:sz w:val="24"/>
        </w:rPr>
        <w:t>8</w:t>
      </w:r>
      <w:r>
        <w:rPr>
          <w:rFonts w:ascii="宋体" w:hAnsi="宋体" w:hint="eastAsia"/>
          <w:sz w:val="24"/>
        </w:rPr>
        <w:t>小时内专业维修人员到达现场。</w:t>
      </w:r>
    </w:p>
    <w:p w:rsidR="00F8039C" w:rsidRDefault="000317BF">
      <w:pPr>
        <w:spacing w:line="360" w:lineRule="auto"/>
        <w:rPr>
          <w:rFonts w:ascii="宋体"/>
          <w:b/>
          <w:sz w:val="28"/>
        </w:rPr>
      </w:pPr>
      <w:r>
        <w:rPr>
          <w:rFonts w:hint="eastAsia"/>
          <w:b/>
          <w:sz w:val="28"/>
        </w:rPr>
        <w:t>九</w:t>
      </w:r>
      <w:r>
        <w:rPr>
          <w:rFonts w:ascii="宋体" w:hAnsi="宋体" w:hint="eastAsia"/>
          <w:b/>
          <w:sz w:val="28"/>
        </w:rPr>
        <w:t>、评标要求：</w:t>
      </w:r>
    </w:p>
    <w:p w:rsidR="00F8039C" w:rsidRDefault="000317BF">
      <w:pPr>
        <w:spacing w:line="360" w:lineRule="auto"/>
        <w:ind w:firstLineChars="250" w:firstLine="600"/>
        <w:rPr>
          <w:rFonts w:ascii="宋体"/>
          <w:sz w:val="24"/>
        </w:rPr>
      </w:pPr>
      <w:r>
        <w:rPr>
          <w:rFonts w:ascii="宋体" w:hAnsi="宋体" w:hint="eastAsia"/>
          <w:bCs/>
          <w:sz w:val="24"/>
        </w:rPr>
        <w:t>招标人在对投标人的品牌、实力、信誉、价格、业绩、性能及服务等综合因素进行综合评定情况下确定中标人。对未中标人，招标人将不作任何解释。</w:t>
      </w:r>
    </w:p>
    <w:p w:rsidR="00F8039C" w:rsidRDefault="000317BF">
      <w:pPr>
        <w:spacing w:line="360" w:lineRule="auto"/>
        <w:rPr>
          <w:rFonts w:ascii="宋体"/>
          <w:b/>
          <w:sz w:val="28"/>
        </w:rPr>
      </w:pPr>
      <w:r>
        <w:rPr>
          <w:rFonts w:ascii="宋体" w:hAnsi="宋体" w:hint="eastAsia"/>
          <w:b/>
          <w:sz w:val="28"/>
        </w:rPr>
        <w:t>十、其他说明：</w:t>
      </w:r>
    </w:p>
    <w:p w:rsidR="00F8039C" w:rsidRDefault="000317BF">
      <w:pPr>
        <w:spacing w:line="360" w:lineRule="auto"/>
        <w:ind w:firstLineChars="200" w:firstLine="480"/>
        <w:rPr>
          <w:rFonts w:ascii="宋体"/>
          <w:color w:val="000000"/>
          <w:sz w:val="24"/>
        </w:rPr>
      </w:pPr>
      <w:r>
        <w:rPr>
          <w:rFonts w:ascii="宋体" w:hAnsi="宋体"/>
          <w:sz w:val="24"/>
        </w:rPr>
        <w:t>1</w:t>
      </w:r>
      <w:r>
        <w:rPr>
          <w:rFonts w:ascii="宋体" w:hAnsi="宋体" w:hint="eastAsia"/>
          <w:sz w:val="24"/>
        </w:rPr>
        <w:t>、</w:t>
      </w:r>
      <w:r>
        <w:rPr>
          <w:rFonts w:ascii="宋体" w:hAnsi="宋体" w:hint="eastAsia"/>
          <w:color w:val="000000"/>
          <w:sz w:val="24"/>
        </w:rPr>
        <w:t>开标时间及开标地点另行通知。</w:t>
      </w:r>
    </w:p>
    <w:p w:rsidR="00F8039C" w:rsidRDefault="000317BF">
      <w:pPr>
        <w:spacing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、本次招标</w:t>
      </w:r>
      <w:proofErr w:type="gramStart"/>
      <w:r>
        <w:rPr>
          <w:rFonts w:ascii="宋体" w:hAnsi="宋体" w:hint="eastAsia"/>
          <w:color w:val="000000"/>
          <w:sz w:val="24"/>
        </w:rPr>
        <w:t>采用总</w:t>
      </w:r>
      <w:proofErr w:type="gramEnd"/>
      <w:r>
        <w:rPr>
          <w:rFonts w:ascii="宋体" w:hAnsi="宋体" w:hint="eastAsia"/>
          <w:color w:val="000000"/>
          <w:sz w:val="24"/>
        </w:rPr>
        <w:t>承包方式，因此投标人的报价应包括所投产品费用、安装调试费、</w:t>
      </w:r>
      <w:proofErr w:type="gramStart"/>
      <w:r>
        <w:rPr>
          <w:rFonts w:ascii="宋体" w:hAnsi="宋体" w:hint="eastAsia"/>
          <w:color w:val="000000"/>
          <w:sz w:val="24"/>
        </w:rPr>
        <w:t>测试验</w:t>
      </w:r>
      <w:proofErr w:type="gramEnd"/>
      <w:r>
        <w:rPr>
          <w:rFonts w:ascii="宋体" w:hAnsi="宋体" w:hint="eastAsia"/>
          <w:color w:val="000000"/>
          <w:sz w:val="24"/>
        </w:rPr>
        <w:t>收费、培训费、运行维护费用、税金、国际国内运输保险、报关清关、开证、办理全套免税手续费用及其他有关的为完成本项目发生的所有费用。</w:t>
      </w:r>
    </w:p>
    <w:p w:rsidR="00F8039C" w:rsidRDefault="000317BF">
      <w:pPr>
        <w:spacing w:line="360" w:lineRule="auto"/>
        <w:ind w:firstLineChars="200" w:firstLine="480"/>
        <w:rPr>
          <w:rFonts w:ascii="宋体"/>
          <w:sz w:val="24"/>
        </w:rPr>
      </w:pPr>
      <w:r>
        <w:rPr>
          <w:rFonts w:ascii="宋体" w:hAnsi="宋体"/>
          <w:color w:val="000000"/>
          <w:sz w:val="24"/>
        </w:rPr>
        <w:t>3</w:t>
      </w:r>
      <w:r>
        <w:rPr>
          <w:rFonts w:ascii="宋体" w:hAnsi="宋体" w:hint="eastAsia"/>
          <w:color w:val="000000"/>
          <w:sz w:val="24"/>
        </w:rPr>
        <w:t>、</w:t>
      </w:r>
      <w:r>
        <w:rPr>
          <w:rFonts w:ascii="宋体" w:hAnsi="宋体" w:hint="eastAsia"/>
          <w:sz w:val="24"/>
        </w:rPr>
        <w:t>投标人按本项目各分包项目参加投标，可以投单个或全部项目，评定中标按照每个分包项目独立确定中标供应商。</w:t>
      </w:r>
    </w:p>
    <w:p w:rsidR="00F8039C" w:rsidRDefault="000317BF">
      <w:pPr>
        <w:spacing w:line="360" w:lineRule="auto"/>
        <w:ind w:firstLineChars="200" w:firstLine="480"/>
        <w:rPr>
          <w:rFonts w:ascii="宋体" w:cs="宋体"/>
          <w:kern w:val="0"/>
          <w:sz w:val="24"/>
        </w:rPr>
      </w:pPr>
      <w:r>
        <w:rPr>
          <w:rFonts w:ascii="宋体" w:hAnsi="宋体" w:cs="宋体"/>
          <w:kern w:val="0"/>
          <w:sz w:val="24"/>
        </w:rPr>
        <w:lastRenderedPageBreak/>
        <w:t>4</w:t>
      </w:r>
      <w:r>
        <w:rPr>
          <w:rFonts w:ascii="宋体" w:hAnsi="宋体" w:cs="宋体" w:hint="eastAsia"/>
          <w:kern w:val="0"/>
          <w:sz w:val="24"/>
        </w:rPr>
        <w:t>、投标标书是合同不可分割的一部分，参与投标即视为</w:t>
      </w:r>
      <w:proofErr w:type="gramStart"/>
      <w:r>
        <w:rPr>
          <w:rFonts w:ascii="宋体" w:hAnsi="宋体" w:cs="宋体" w:hint="eastAsia"/>
          <w:kern w:val="0"/>
          <w:sz w:val="24"/>
        </w:rPr>
        <w:t>对本邀标书</w:t>
      </w:r>
      <w:proofErr w:type="gramEnd"/>
      <w:r>
        <w:rPr>
          <w:rFonts w:ascii="宋体" w:hAnsi="宋体" w:cs="宋体" w:hint="eastAsia"/>
          <w:kern w:val="0"/>
          <w:sz w:val="24"/>
        </w:rPr>
        <w:t>要求的接受。请投标人务必认真阅读本招标文件，严格遵照标书内容应标，投标书不符合邀标书的要求即视为废标。</w:t>
      </w:r>
    </w:p>
    <w:p w:rsidR="00F8039C" w:rsidRDefault="00F8039C">
      <w:pPr>
        <w:spacing w:line="360" w:lineRule="auto"/>
        <w:ind w:firstLineChars="150" w:firstLine="315"/>
        <w:rPr>
          <w:rFonts w:ascii="Calibri" w:hAnsi="Calibri"/>
        </w:rPr>
      </w:pPr>
    </w:p>
    <w:sectPr w:rsidR="00F8039C">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7BF" w:rsidRDefault="000317BF">
      <w:r>
        <w:separator/>
      </w:r>
    </w:p>
  </w:endnote>
  <w:endnote w:type="continuationSeparator" w:id="0">
    <w:p w:rsidR="000317BF" w:rsidRDefault="0003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utura">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7BF" w:rsidRDefault="000317BF">
      <w:r>
        <w:separator/>
      </w:r>
    </w:p>
  </w:footnote>
  <w:footnote w:type="continuationSeparator" w:id="0">
    <w:p w:rsidR="000317BF" w:rsidRDefault="00031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9C" w:rsidRDefault="00F8039C">
    <w:pPr>
      <w:pStyle w:val="a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16E34"/>
    <w:multiLevelType w:val="multilevel"/>
    <w:tmpl w:val="0CC16E34"/>
    <w:lvl w:ilvl="0">
      <w:start w:val="1"/>
      <w:numFmt w:val="japaneseCounting"/>
      <w:lvlText w:val="（%1）"/>
      <w:lvlJc w:val="left"/>
      <w:pPr>
        <w:ind w:left="990" w:hanging="99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669B1E50"/>
    <w:multiLevelType w:val="multilevel"/>
    <w:tmpl w:val="669B1E50"/>
    <w:lvl w:ilvl="0" w:tentative="1">
      <w:start w:val="1"/>
      <w:numFmt w:val="decimal"/>
      <w:lvlText w:val="%1"/>
      <w:lvlJc w:val="left"/>
      <w:pPr>
        <w:tabs>
          <w:tab w:val="left" w:pos="88"/>
        </w:tabs>
        <w:ind w:left="88"/>
      </w:pPr>
      <w:rPr>
        <w:rFonts w:cs="Times New Roman" w:hint="eastAsia"/>
      </w:rPr>
    </w:lvl>
    <w:lvl w:ilvl="1" w:tentative="1">
      <w:start w:val="1"/>
      <w:numFmt w:val="decimal"/>
      <w:pStyle w:val="2"/>
      <w:lvlText w:val="%1.%2"/>
      <w:lvlJc w:val="left"/>
      <w:pPr>
        <w:tabs>
          <w:tab w:val="left" w:pos="576"/>
        </w:tabs>
        <w:ind w:left="576" w:hanging="576"/>
      </w:pPr>
      <w:rPr>
        <w:rFonts w:cs="Times New Roman" w:hint="eastAsia"/>
      </w:rPr>
    </w:lvl>
    <w:lvl w:ilvl="2" w:tentative="1">
      <w:start w:val="1"/>
      <w:numFmt w:val="decimal"/>
      <w:lvlText w:val="%1.%2.%3"/>
      <w:lvlJc w:val="left"/>
      <w:pPr>
        <w:tabs>
          <w:tab w:val="left" w:pos="1518"/>
        </w:tabs>
        <w:ind w:left="1518" w:hanging="720"/>
      </w:pPr>
      <w:rPr>
        <w:rFonts w:cs="Times New Roman" w:hint="eastAsia"/>
      </w:rPr>
    </w:lvl>
    <w:lvl w:ilvl="3" w:tentative="1">
      <w:start w:val="1"/>
      <w:numFmt w:val="decimal"/>
      <w:lvlText w:val="%1.%2.%3.%4"/>
      <w:lvlJc w:val="left"/>
      <w:pPr>
        <w:tabs>
          <w:tab w:val="left" w:pos="1094"/>
        </w:tabs>
        <w:ind w:left="1094" w:hanging="864"/>
      </w:pPr>
      <w:rPr>
        <w:rFonts w:cs="Times New Roman" w:hint="eastAsia"/>
      </w:rPr>
    </w:lvl>
    <w:lvl w:ilvl="4" w:tentative="1">
      <w:start w:val="1"/>
      <w:numFmt w:val="decimal"/>
      <w:lvlText w:val="%1.%2.%3.%4.%5"/>
      <w:lvlJc w:val="left"/>
      <w:pPr>
        <w:tabs>
          <w:tab w:val="left" w:pos="1096"/>
        </w:tabs>
        <w:ind w:left="1096" w:hanging="1008"/>
      </w:pPr>
      <w:rPr>
        <w:rFonts w:cs="Times New Roman" w:hint="eastAsia"/>
      </w:rPr>
    </w:lvl>
    <w:lvl w:ilvl="5" w:tentative="1">
      <w:start w:val="1"/>
      <w:numFmt w:val="decimal"/>
      <w:pStyle w:val="6"/>
      <w:lvlText w:val="%1.%2.%3.%4.%5.%6"/>
      <w:lvlJc w:val="left"/>
      <w:pPr>
        <w:tabs>
          <w:tab w:val="left" w:pos="1240"/>
        </w:tabs>
        <w:ind w:left="1240" w:hanging="1152"/>
      </w:pPr>
      <w:rPr>
        <w:rFonts w:cs="Times New Roman" w:hint="eastAsia"/>
      </w:rPr>
    </w:lvl>
    <w:lvl w:ilvl="6" w:tentative="1">
      <w:start w:val="1"/>
      <w:numFmt w:val="decimal"/>
      <w:pStyle w:val="7"/>
      <w:lvlText w:val="%1.%2.%3.%4.%5.%6.%7"/>
      <w:lvlJc w:val="left"/>
      <w:pPr>
        <w:tabs>
          <w:tab w:val="left" w:pos="1384"/>
        </w:tabs>
        <w:ind w:left="1384" w:hanging="1296"/>
      </w:pPr>
      <w:rPr>
        <w:rFonts w:cs="Times New Roman" w:hint="eastAsia"/>
      </w:rPr>
    </w:lvl>
    <w:lvl w:ilvl="7" w:tentative="1">
      <w:start w:val="1"/>
      <w:numFmt w:val="decimal"/>
      <w:pStyle w:val="8"/>
      <w:lvlText w:val="%1.%2.%3.%4.%5.%6.%7.%8"/>
      <w:lvlJc w:val="left"/>
      <w:pPr>
        <w:tabs>
          <w:tab w:val="left" w:pos="1528"/>
        </w:tabs>
        <w:ind w:left="1528" w:hanging="1440"/>
      </w:pPr>
      <w:rPr>
        <w:rFonts w:cs="Times New Roman" w:hint="eastAsia"/>
      </w:rPr>
    </w:lvl>
    <w:lvl w:ilvl="8" w:tentative="1">
      <w:start w:val="1"/>
      <w:numFmt w:val="decimal"/>
      <w:pStyle w:val="9"/>
      <w:lvlText w:val="%1.%2.%3.%4.%5.%6.%7.%8.%9"/>
      <w:lvlJc w:val="left"/>
      <w:pPr>
        <w:tabs>
          <w:tab w:val="left" w:pos="1672"/>
        </w:tabs>
        <w:ind w:left="1672" w:hanging="1584"/>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39C"/>
    <w:rsid w:val="000317BF"/>
    <w:rsid w:val="00424C27"/>
    <w:rsid w:val="00F8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6419B76-BC03-4A86-B844-E72D8B5E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lsdException w:name="header" w:uiPriority="99"/>
    <w:lsdException w:name="footer" w:uiPriority="99"/>
    <w:lsdException w:name="caption" w:locked="1" w:semiHidden="1" w:uiPriority="35" w:unhideWhenUsed="1" w:qFormat="1"/>
    <w:lsdException w:name="Title" w:locked="1" w:uiPriority="10" w:qFormat="1"/>
    <w:lsdException w:name="Default Paragraph Font" w:semiHidden="1" w:uiPriority="99"/>
    <w:lsdException w:name="Body Text" w:uiPriority="99"/>
    <w:lsdException w:name="Body Text Indent" w:semiHidden="1" w:uiPriority="99"/>
    <w:lsdException w:name="Subtitle" w:locked="1" w:uiPriority="11" w:qFormat="1"/>
    <w:lsdException w:name="Date" w:semiHidden="1"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numPr>
        <w:ilvl w:val="1"/>
        <w:numId w:val="1"/>
      </w:numPr>
      <w:tabs>
        <w:tab w:val="left" w:pos="88"/>
      </w:tabs>
      <w:spacing w:before="260" w:after="260" w:line="415" w:lineRule="auto"/>
      <w:outlineLvl w:val="1"/>
    </w:pPr>
    <w:rPr>
      <w:rFonts w:ascii="Arial" w:hAnsi="Arial"/>
      <w:b/>
      <w:bCs/>
      <w:kern w:val="0"/>
      <w:sz w:val="32"/>
      <w:szCs w:val="32"/>
    </w:rPr>
  </w:style>
  <w:style w:type="paragraph" w:styleId="3">
    <w:name w:val="heading 3"/>
    <w:basedOn w:val="a"/>
    <w:next w:val="a"/>
    <w:link w:val="3Char"/>
    <w:uiPriority w:val="9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Calibri Light" w:hAnsi="Calibri Light"/>
      <w:b/>
      <w:bCs/>
      <w:kern w:val="0"/>
      <w:sz w:val="28"/>
      <w:szCs w:val="28"/>
    </w:rPr>
  </w:style>
  <w:style w:type="paragraph" w:styleId="5">
    <w:name w:val="heading 5"/>
    <w:basedOn w:val="a"/>
    <w:next w:val="a"/>
    <w:link w:val="5Char"/>
    <w:uiPriority w:val="99"/>
    <w:qFormat/>
    <w:pPr>
      <w:keepNext/>
      <w:keepLines/>
      <w:spacing w:before="280" w:after="290" w:line="376" w:lineRule="auto"/>
      <w:outlineLvl w:val="4"/>
    </w:pPr>
    <w:rPr>
      <w:b/>
      <w:bCs/>
      <w:kern w:val="0"/>
      <w:sz w:val="28"/>
      <w:szCs w:val="28"/>
    </w:rPr>
  </w:style>
  <w:style w:type="paragraph" w:styleId="6">
    <w:name w:val="heading 6"/>
    <w:basedOn w:val="a"/>
    <w:next w:val="a"/>
    <w:link w:val="6Char"/>
    <w:uiPriority w:val="99"/>
    <w:qFormat/>
    <w:pPr>
      <w:keepNext/>
      <w:keepLines/>
      <w:numPr>
        <w:ilvl w:val="5"/>
        <w:numId w:val="1"/>
      </w:numPr>
      <w:tabs>
        <w:tab w:val="left" w:pos="88"/>
        <w:tab w:val="left" w:pos="1440"/>
      </w:tabs>
      <w:adjustRightInd w:val="0"/>
      <w:spacing w:before="240" w:after="64" w:line="319" w:lineRule="auto"/>
      <w:jc w:val="left"/>
      <w:outlineLvl w:val="5"/>
    </w:pPr>
    <w:rPr>
      <w:rFonts w:ascii="Arial" w:eastAsia="黑体" w:hAnsi="Arial"/>
      <w:b/>
      <w:bCs/>
      <w:kern w:val="0"/>
      <w:sz w:val="24"/>
    </w:rPr>
  </w:style>
  <w:style w:type="paragraph" w:styleId="7">
    <w:name w:val="heading 7"/>
    <w:basedOn w:val="a"/>
    <w:next w:val="a"/>
    <w:link w:val="7Char"/>
    <w:uiPriority w:val="99"/>
    <w:qFormat/>
    <w:pPr>
      <w:keepNext/>
      <w:keepLines/>
      <w:numPr>
        <w:ilvl w:val="6"/>
        <w:numId w:val="1"/>
      </w:numPr>
      <w:tabs>
        <w:tab w:val="left" w:pos="88"/>
      </w:tabs>
      <w:spacing w:before="240" w:after="64" w:line="320" w:lineRule="auto"/>
      <w:outlineLvl w:val="6"/>
    </w:pPr>
    <w:rPr>
      <w:b/>
      <w:bCs/>
      <w:kern w:val="0"/>
      <w:sz w:val="24"/>
    </w:rPr>
  </w:style>
  <w:style w:type="paragraph" w:styleId="8">
    <w:name w:val="heading 8"/>
    <w:basedOn w:val="a"/>
    <w:next w:val="a"/>
    <w:link w:val="8Char"/>
    <w:uiPriority w:val="99"/>
    <w:qFormat/>
    <w:pPr>
      <w:keepNext/>
      <w:keepLines/>
      <w:numPr>
        <w:ilvl w:val="7"/>
        <w:numId w:val="1"/>
      </w:numPr>
      <w:tabs>
        <w:tab w:val="left" w:pos="88"/>
      </w:tabs>
      <w:spacing w:before="240" w:after="64" w:line="320" w:lineRule="auto"/>
      <w:outlineLvl w:val="7"/>
    </w:pPr>
    <w:rPr>
      <w:rFonts w:ascii="Arial" w:eastAsia="黑体" w:hAnsi="Arial"/>
      <w:kern w:val="0"/>
      <w:sz w:val="24"/>
    </w:rPr>
  </w:style>
  <w:style w:type="paragraph" w:styleId="9">
    <w:name w:val="heading 9"/>
    <w:basedOn w:val="a"/>
    <w:next w:val="a"/>
    <w:link w:val="9Char"/>
    <w:uiPriority w:val="99"/>
    <w:qFormat/>
    <w:pPr>
      <w:keepNext/>
      <w:keepLines/>
      <w:numPr>
        <w:ilvl w:val="8"/>
        <w:numId w:val="1"/>
      </w:numPr>
      <w:tabs>
        <w:tab w:val="left" w:pos="88"/>
      </w:tabs>
      <w:spacing w:before="240" w:after="64" w:line="320" w:lineRule="auto"/>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pPr>
      <w:widowControl/>
      <w:spacing w:line="360" w:lineRule="auto"/>
      <w:ind w:firstLine="420"/>
      <w:jc w:val="left"/>
    </w:pPr>
    <w:rPr>
      <w:rFonts w:ascii="宋体"/>
      <w:kern w:val="0"/>
      <w:sz w:val="20"/>
      <w:szCs w:val="20"/>
    </w:rPr>
  </w:style>
  <w:style w:type="paragraph" w:styleId="a4">
    <w:name w:val="Body Text"/>
    <w:basedOn w:val="a"/>
    <w:link w:val="Char0"/>
    <w:uiPriority w:val="99"/>
    <w:pPr>
      <w:jc w:val="center"/>
    </w:pPr>
    <w:rPr>
      <w:kern w:val="0"/>
      <w:sz w:val="44"/>
    </w:rPr>
  </w:style>
  <w:style w:type="paragraph" w:styleId="a5">
    <w:name w:val="Body Text Indent"/>
    <w:basedOn w:val="a"/>
    <w:link w:val="Char1"/>
    <w:uiPriority w:val="99"/>
    <w:semiHidden/>
    <w:pPr>
      <w:spacing w:after="120"/>
      <w:ind w:leftChars="200" w:left="420"/>
    </w:pPr>
    <w:rPr>
      <w:kern w:val="0"/>
      <w:sz w:val="20"/>
    </w:rPr>
  </w:style>
  <w:style w:type="paragraph" w:styleId="a6">
    <w:name w:val="Date"/>
    <w:basedOn w:val="a"/>
    <w:next w:val="a"/>
    <w:link w:val="Char2"/>
    <w:uiPriority w:val="99"/>
    <w:semiHidden/>
    <w:pPr>
      <w:ind w:leftChars="2500" w:left="100"/>
    </w:pPr>
    <w:rPr>
      <w:kern w:val="0"/>
      <w:sz w:val="20"/>
    </w:rPr>
  </w:style>
  <w:style w:type="paragraph" w:styleId="a7">
    <w:name w:val="Balloon Text"/>
    <w:basedOn w:val="a"/>
    <w:link w:val="Char3"/>
    <w:uiPriority w:val="99"/>
    <w:semiHidden/>
    <w:rPr>
      <w:kern w:val="0"/>
      <w:sz w:val="18"/>
      <w:szCs w:val="18"/>
    </w:rPr>
  </w:style>
  <w:style w:type="paragraph" w:styleId="a8">
    <w:name w:val="footer"/>
    <w:basedOn w:val="a"/>
    <w:link w:val="Char4"/>
    <w:uiPriority w:val="99"/>
    <w:pPr>
      <w:tabs>
        <w:tab w:val="center" w:pos="4153"/>
        <w:tab w:val="right" w:pos="8306"/>
      </w:tabs>
      <w:snapToGrid w:val="0"/>
      <w:jc w:val="left"/>
    </w:pPr>
    <w:rPr>
      <w:kern w:val="0"/>
      <w:sz w:val="18"/>
      <w:szCs w:val="18"/>
    </w:rPr>
  </w:style>
  <w:style w:type="paragraph" w:styleId="a9">
    <w:name w:val="header"/>
    <w:basedOn w:val="a"/>
    <w:link w:val="Char5"/>
    <w:uiPriority w:val="99"/>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rPr>
  </w:style>
  <w:style w:type="paragraph" w:customStyle="1" w:styleId="ab">
    <w:name w:val="页眉与页脚"/>
    <w:uiPriority w:val="99"/>
    <w:pPr>
      <w:tabs>
        <w:tab w:val="right" w:pos="8362"/>
      </w:tabs>
      <w:spacing w:line="312" w:lineRule="auto"/>
    </w:pPr>
    <w:rPr>
      <w:rFonts w:ascii="Futura" w:hAnsi="Futura"/>
      <w:color w:val="000000"/>
    </w:rPr>
  </w:style>
  <w:style w:type="paragraph" w:customStyle="1" w:styleId="10">
    <w:name w:val="列出段落1"/>
    <w:basedOn w:val="a"/>
    <w:link w:val="Char6"/>
    <w:uiPriority w:val="99"/>
    <w:pPr>
      <w:ind w:firstLineChars="200" w:firstLine="420"/>
    </w:pPr>
    <w:rPr>
      <w:kern w:val="0"/>
      <w:sz w:val="20"/>
    </w:rPr>
  </w:style>
  <w:style w:type="paragraph" w:customStyle="1" w:styleId="Default">
    <w:name w:val="Default"/>
    <w:uiPriority w:val="99"/>
    <w:pPr>
      <w:autoSpaceDE w:val="0"/>
      <w:autoSpaceDN w:val="0"/>
      <w:adjustRightInd w:val="0"/>
    </w:pPr>
    <w:rPr>
      <w:rFonts w:ascii="宋体" w:cs="宋体"/>
      <w:color w:val="000000"/>
      <w:sz w:val="24"/>
      <w:szCs w:val="24"/>
    </w:rPr>
  </w:style>
  <w:style w:type="paragraph" w:customStyle="1" w:styleId="Char7">
    <w:name w:val="Char"/>
    <w:basedOn w:val="a"/>
    <w:uiPriority w:val="99"/>
    <w:rPr>
      <w:sz w:val="30"/>
    </w:rPr>
  </w:style>
  <w:style w:type="character" w:customStyle="1" w:styleId="1Char">
    <w:name w:val="标题 1 Char"/>
    <w:link w:val="1"/>
    <w:uiPriority w:val="99"/>
    <w:locked/>
    <w:rPr>
      <w:rFonts w:ascii="Times New Roman" w:eastAsia="宋体" w:hAnsi="Times New Roman"/>
      <w:b/>
      <w:kern w:val="44"/>
      <w:sz w:val="44"/>
    </w:rPr>
  </w:style>
  <w:style w:type="character" w:customStyle="1" w:styleId="2Char">
    <w:name w:val="标题 2 Char"/>
    <w:link w:val="2"/>
    <w:uiPriority w:val="99"/>
    <w:locked/>
    <w:rPr>
      <w:rFonts w:ascii="Arial" w:eastAsia="宋体" w:hAnsi="Arial"/>
      <w:b/>
      <w:sz w:val="32"/>
    </w:rPr>
  </w:style>
  <w:style w:type="character" w:customStyle="1" w:styleId="3Char">
    <w:name w:val="标题 3 Char"/>
    <w:link w:val="3"/>
    <w:uiPriority w:val="99"/>
    <w:locked/>
    <w:rPr>
      <w:rFonts w:ascii="Times New Roman" w:eastAsia="宋体" w:hAnsi="Times New Roman"/>
      <w:b/>
      <w:sz w:val="32"/>
    </w:rPr>
  </w:style>
  <w:style w:type="character" w:customStyle="1" w:styleId="4Char">
    <w:name w:val="标题 4 Char"/>
    <w:link w:val="4"/>
    <w:uiPriority w:val="99"/>
    <w:locked/>
    <w:rPr>
      <w:rFonts w:ascii="Calibri Light" w:eastAsia="宋体" w:hAnsi="Calibri Light"/>
      <w:b/>
      <w:sz w:val="28"/>
    </w:rPr>
  </w:style>
  <w:style w:type="character" w:customStyle="1" w:styleId="5Char">
    <w:name w:val="标题 5 Char"/>
    <w:link w:val="5"/>
    <w:uiPriority w:val="99"/>
    <w:locked/>
    <w:rPr>
      <w:rFonts w:ascii="Times New Roman" w:eastAsia="宋体" w:hAnsi="Times New Roman"/>
      <w:b/>
      <w:sz w:val="28"/>
    </w:rPr>
  </w:style>
  <w:style w:type="character" w:customStyle="1" w:styleId="6Char">
    <w:name w:val="标题 6 Char"/>
    <w:link w:val="6"/>
    <w:uiPriority w:val="99"/>
    <w:locked/>
    <w:rPr>
      <w:rFonts w:ascii="Arial" w:eastAsia="黑体" w:hAnsi="Arial"/>
      <w:b/>
      <w:sz w:val="24"/>
    </w:rPr>
  </w:style>
  <w:style w:type="character" w:customStyle="1" w:styleId="7Char">
    <w:name w:val="标题 7 Char"/>
    <w:link w:val="7"/>
    <w:uiPriority w:val="99"/>
    <w:locked/>
    <w:rPr>
      <w:rFonts w:ascii="Times New Roman" w:eastAsia="宋体" w:hAnsi="Times New Roman"/>
      <w:b/>
      <w:sz w:val="24"/>
    </w:rPr>
  </w:style>
  <w:style w:type="character" w:customStyle="1" w:styleId="8Char">
    <w:name w:val="标题 8 Char"/>
    <w:link w:val="8"/>
    <w:uiPriority w:val="99"/>
    <w:locked/>
    <w:rPr>
      <w:rFonts w:ascii="Arial" w:eastAsia="黑体" w:hAnsi="Arial"/>
      <w:sz w:val="24"/>
    </w:rPr>
  </w:style>
  <w:style w:type="character" w:customStyle="1" w:styleId="9Char">
    <w:name w:val="标题 9 Char"/>
    <w:link w:val="9"/>
    <w:uiPriority w:val="99"/>
    <w:locked/>
    <w:rPr>
      <w:rFonts w:ascii="Arial" w:eastAsia="黑体" w:hAnsi="Arial"/>
      <w:sz w:val="21"/>
    </w:rPr>
  </w:style>
  <w:style w:type="character" w:customStyle="1" w:styleId="Char0">
    <w:name w:val="正文文本 Char"/>
    <w:link w:val="a4"/>
    <w:uiPriority w:val="99"/>
    <w:locked/>
    <w:rPr>
      <w:rFonts w:ascii="Times New Roman" w:eastAsia="宋体" w:hAnsi="Times New Roman"/>
      <w:sz w:val="24"/>
    </w:rPr>
  </w:style>
  <w:style w:type="character" w:customStyle="1" w:styleId="Char1">
    <w:name w:val="正文文本缩进 Char"/>
    <w:link w:val="a5"/>
    <w:uiPriority w:val="99"/>
    <w:semiHidden/>
    <w:locked/>
    <w:rPr>
      <w:rFonts w:ascii="Times New Roman" w:eastAsia="宋体" w:hAnsi="Times New Roman"/>
      <w:sz w:val="24"/>
    </w:rPr>
  </w:style>
  <w:style w:type="character" w:customStyle="1" w:styleId="Char2">
    <w:name w:val="日期 Char"/>
    <w:link w:val="a6"/>
    <w:uiPriority w:val="99"/>
    <w:semiHidden/>
    <w:locked/>
    <w:rPr>
      <w:rFonts w:ascii="Times New Roman" w:eastAsia="宋体" w:hAnsi="Times New Roman"/>
      <w:sz w:val="24"/>
    </w:rPr>
  </w:style>
  <w:style w:type="character" w:customStyle="1" w:styleId="Char3">
    <w:name w:val="批注框文本 Char"/>
    <w:link w:val="a7"/>
    <w:uiPriority w:val="99"/>
    <w:semiHidden/>
    <w:locked/>
    <w:rPr>
      <w:rFonts w:ascii="Times New Roman" w:eastAsia="宋体" w:hAnsi="Times New Roman"/>
      <w:sz w:val="18"/>
    </w:rPr>
  </w:style>
  <w:style w:type="character" w:customStyle="1" w:styleId="Char4">
    <w:name w:val="页脚 Char"/>
    <w:link w:val="a8"/>
    <w:uiPriority w:val="99"/>
    <w:locked/>
    <w:rPr>
      <w:rFonts w:ascii="Times New Roman" w:eastAsia="宋体" w:hAnsi="Times New Roman"/>
      <w:sz w:val="18"/>
    </w:rPr>
  </w:style>
  <w:style w:type="character" w:customStyle="1" w:styleId="Char5">
    <w:name w:val="页眉 Char"/>
    <w:link w:val="a9"/>
    <w:uiPriority w:val="99"/>
    <w:locked/>
    <w:rPr>
      <w:rFonts w:ascii="Times New Roman" w:eastAsia="宋体" w:hAnsi="Times New Roman"/>
      <w:sz w:val="18"/>
    </w:rPr>
  </w:style>
  <w:style w:type="character" w:customStyle="1" w:styleId="Char">
    <w:name w:val="正文缩进 Char"/>
    <w:link w:val="a3"/>
    <w:uiPriority w:val="99"/>
    <w:locked/>
    <w:rPr>
      <w:rFonts w:ascii="宋体" w:eastAsia="宋体"/>
    </w:rPr>
  </w:style>
  <w:style w:type="character" w:customStyle="1" w:styleId="Char6">
    <w:name w:val="列出段落 Char"/>
    <w:link w:val="10"/>
    <w:uiPriority w:val="99"/>
    <w:locked/>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578</Words>
  <Characters>3297</Characters>
  <Application>Microsoft Office Word</Application>
  <DocSecurity>0</DocSecurity>
  <Lines>27</Lines>
  <Paragraphs>7</Paragraphs>
  <ScaleCrop>false</ScaleCrop>
  <Company>Hewlett-Packard</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南京医科大学图书馆</dc:title>
  <dc:creator>王云峰</dc:creator>
  <cp:lastModifiedBy>王云峰</cp:lastModifiedBy>
  <cp:revision>1</cp:revision>
  <cp:lastPrinted>2014-05-26T01:24:00Z</cp:lastPrinted>
  <dcterms:created xsi:type="dcterms:W3CDTF">2014-04-16T07:01:00Z</dcterms:created>
  <dcterms:modified xsi:type="dcterms:W3CDTF">2014-06-04T01:16:00Z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