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项目名称：Web应用防护系统购置项目</w:t>
      </w:r>
    </w:p>
    <w:p>
      <w:pPr>
        <w:pStyle w:val="27"/>
        <w:ind w:firstLine="1285" w:firstLineChars="400"/>
        <w:rPr>
          <w:b/>
          <w:bCs/>
          <w:color w:val="FF0000"/>
          <w:sz w:val="32"/>
          <w:highlight w:val="yellow"/>
        </w:rPr>
      </w:pPr>
      <w:r>
        <w:rPr>
          <w:rFonts w:hint="eastAsia"/>
          <w:b/>
          <w:bCs/>
          <w:sz w:val="32"/>
        </w:rPr>
        <w:t>项目编号：  njmu-20190117-9</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23127445"/>
      <w:bookmarkStart w:id="5" w:name="_Toc513029200"/>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OLE_LINK1"/>
      <w:bookmarkStart w:id="9" w:name="_Toc120614211"/>
      <w:bookmarkStart w:id="10" w:name="_Toc479757207"/>
      <w:bookmarkStart w:id="11" w:name="_Toc513029242"/>
      <w:bookmarkStart w:id="12" w:name="_Toc444669970"/>
      <w:bookmarkStart w:id="13" w:name="_Toc20823314"/>
      <w:bookmarkStart w:id="14" w:name="_Toc120614221"/>
      <w:bookmarkStart w:id="15" w:name="OLE_LINK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Web应用防护系统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（一）采购项目名称：Web应用防护系统购置项目</w:t>
      </w:r>
    </w:p>
    <w:p>
      <w:pPr>
        <w:spacing w:before="120" w:beforeLines="50" w:after="120" w:afterLines="50" w:line="500" w:lineRule="exact"/>
        <w:ind w:left="559" w:leftChars="254"/>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（二）采购项目编号：njmu-20190117-9</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20万元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投标文件接收开始时间：2019年01月17日上午8:30（北京时间）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投标文件接收截止时间：2019年01月17日上午9:15前（北京时间）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开标时间：2019年01月17日上午9:15（北京时间）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项目需求方联系人：潘</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电话：025-86868136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12061421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20823284"/>
      <w:bookmarkStart w:id="54" w:name="_Toc462564071"/>
      <w:bookmarkStart w:id="55" w:name="_Toc16938528"/>
      <w:bookmarkStart w:id="56" w:name="_Toc513029212"/>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513029215"/>
      <w:bookmarkStart w:id="68" w:name="_Toc16938531"/>
      <w:bookmarkStart w:id="69" w:name="_Toc462564074"/>
      <w:bookmarkStart w:id="70" w:name="_Toc20823287"/>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70403"/>
      <w:bookmarkEnd w:id="86"/>
      <w:bookmarkStart w:id="87" w:name="_Hlt26954844"/>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6"/>
      <w:bookmarkEnd w:id="91"/>
      <w:bookmarkStart w:id="92" w:name="_Hlt26670482"/>
      <w:bookmarkEnd w:id="92"/>
      <w:bookmarkStart w:id="93" w:name="_Hlt26954731"/>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734"/>
      <w:bookmarkEnd w:id="98"/>
      <w:bookmarkStart w:id="99" w:name="_Hlt26954850"/>
      <w:bookmarkEnd w:id="99"/>
      <w:bookmarkStart w:id="100" w:name="_Hlt26670489"/>
      <w:bookmarkEnd w:id="100"/>
      <w:bookmarkStart w:id="101" w:name="_Hlt26954852"/>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20823296"/>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16938541"/>
      <w:bookmarkStart w:id="111" w:name="_Toc513029225"/>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513029229"/>
      <w:bookmarkStart w:id="124" w:name="_Toc120614218"/>
      <w:bookmarkStart w:id="125" w:name="_Toc20823301"/>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20823302"/>
      <w:bookmarkStart w:id="129" w:name="_Toc513029230"/>
      <w:bookmarkStart w:id="130" w:name="_Toc16938546"/>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w:t>
      </w:r>
    </w:p>
    <w:p>
      <w:pPr>
        <w:pStyle w:val="27"/>
        <w:rPr>
          <w:bCs/>
          <w:sz w:val="28"/>
          <w:szCs w:val="28"/>
        </w:rPr>
      </w:pPr>
      <w:r>
        <w:rPr>
          <w:rFonts w:hint="eastAsia"/>
          <w:bCs/>
          <w:sz w:val="28"/>
          <w:szCs w:val="28"/>
        </w:rPr>
        <w:t>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3"/>
      <w:bookmarkStart w:id="149" w:name="OLE_LINK7"/>
      <w:bookmarkStart w:id="150" w:name="OLE_LINK4"/>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pStyle w:val="33"/>
        <w:numPr>
          <w:ilvl w:val="0"/>
          <w:numId w:val="3"/>
        </w:numPr>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功能及技术参数要求</w:t>
      </w:r>
    </w:p>
    <w:tbl>
      <w:tblPr>
        <w:tblStyle w:val="21"/>
        <w:tblW w:w="9118" w:type="dxa"/>
        <w:jc w:val="center"/>
        <w:tblInd w:w="159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66"/>
        <w:gridCol w:w="8452"/>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666" w:type="dxa"/>
            <w:tcBorders>
              <w:top w:val="single" w:color="000000" w:sz="4" w:space="0"/>
              <w:left w:val="single" w:color="000000" w:sz="4" w:space="0"/>
              <w:bottom w:val="single" w:color="000000" w:sz="4" w:space="0"/>
              <w:right w:val="single" w:color="000000" w:sz="4" w:space="0"/>
            </w:tcBorders>
            <w:vAlign w:val="center"/>
          </w:tcPr>
          <w:p>
            <w:r>
              <w:t>系统架构</w:t>
            </w:r>
          </w:p>
        </w:tc>
        <w:tc>
          <w:tcPr>
            <w:tcW w:w="8452" w:type="dxa"/>
            <w:tcBorders>
              <w:top w:val="single" w:color="000000" w:sz="4" w:space="0"/>
              <w:left w:val="single" w:color="000000" w:sz="4" w:space="0"/>
              <w:bottom w:val="single" w:color="000000" w:sz="4" w:space="0"/>
              <w:right w:val="single" w:color="000000" w:sz="4" w:space="0"/>
            </w:tcBorders>
          </w:tcPr>
          <w:p>
            <w:r>
              <w:rPr>
                <w:rFonts w:hint="eastAsia"/>
              </w:rPr>
              <w:t>采用1U专用机架式硬件设备。专业WEB应用防护设备，非OEM、NGFW、NGAF等下一代防火墙或UTM安全网关产品。</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39" w:hRule="atLeast"/>
          <w:jc w:val="center"/>
        </w:trPr>
        <w:tc>
          <w:tcPr>
            <w:tcW w:w="666" w:type="dxa"/>
            <w:tcBorders>
              <w:top w:val="single" w:color="000000" w:sz="4" w:space="0"/>
              <w:left w:val="single" w:color="000000" w:sz="4" w:space="0"/>
              <w:bottom w:val="single" w:color="000000" w:sz="4" w:space="0"/>
              <w:right w:val="single" w:color="000000" w:sz="4" w:space="0"/>
            </w:tcBorders>
            <w:vAlign w:val="center"/>
          </w:tcPr>
          <w:p>
            <w:r>
              <w:t>接口数量</w:t>
            </w:r>
          </w:p>
        </w:tc>
        <w:tc>
          <w:tcPr>
            <w:tcW w:w="8452" w:type="dxa"/>
            <w:tcBorders>
              <w:top w:val="single" w:color="000000" w:sz="4" w:space="0"/>
              <w:left w:val="single" w:color="000000" w:sz="4" w:space="0"/>
              <w:bottom w:val="single" w:color="000000" w:sz="4" w:space="0"/>
              <w:right w:val="single" w:color="000000" w:sz="4" w:space="0"/>
            </w:tcBorders>
          </w:tcPr>
          <w:p>
            <w:r>
              <w:rPr>
                <w:rFonts w:hint="eastAsia"/>
              </w:rPr>
              <w:t>标配千兆电口≥6个；千兆光口≥4个；支持4进4出，4路同时防护，带2路电口BYPASS</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4" w:hRule="atLeast"/>
          <w:jc w:val="center"/>
        </w:trPr>
        <w:tc>
          <w:tcPr>
            <w:tcW w:w="666" w:type="dxa"/>
            <w:tcBorders>
              <w:top w:val="single" w:color="000000" w:sz="4" w:space="0"/>
              <w:left w:val="single" w:color="000000" w:sz="4" w:space="0"/>
              <w:right w:val="single" w:color="000000" w:sz="4" w:space="0"/>
            </w:tcBorders>
          </w:tcPr>
          <w:p>
            <w:r>
              <w:rPr>
                <w:rFonts w:hint="eastAsia" w:asciiTheme="minorEastAsia" w:hAnsiTheme="minorEastAsia"/>
                <w:bCs/>
                <w:color w:val="000000" w:themeColor="text1"/>
                <w:sz w:val="28"/>
                <w:szCs w:val="28"/>
              </w:rPr>
              <w:t>★</w:t>
            </w:r>
            <w:r>
              <w:rPr>
                <w:rFonts w:hint="eastAsia"/>
              </w:rPr>
              <w:t>软件版web应用防护</w:t>
            </w:r>
          </w:p>
        </w:tc>
        <w:tc>
          <w:tcPr>
            <w:tcW w:w="8452" w:type="dxa"/>
            <w:tcBorders>
              <w:top w:val="single" w:color="000000" w:sz="4" w:space="0"/>
              <w:left w:val="single" w:color="000000" w:sz="4" w:space="0"/>
              <w:bottom w:val="single" w:color="000000" w:sz="4" w:space="0"/>
              <w:right w:val="single" w:color="000000" w:sz="4" w:space="0"/>
            </w:tcBorders>
          </w:tcPr>
          <w:p>
            <w:r>
              <w:rPr>
                <w:rFonts w:hint="eastAsia"/>
              </w:rPr>
              <w:t>提供10套投标品牌的可在WINDOWS平台上安装和运行的软件版WEB应用防护系统。（提供界面截图）。</w:t>
            </w:r>
          </w:p>
          <w:p>
            <w:r>
              <w:rPr>
                <w:rFonts w:hint="eastAsia"/>
              </w:rPr>
              <w:t>至少提供同品牌windows平台webshell检测工具一套搜索网站里面的网页木马，并生成统计报表。（提供界面截图）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4" w:hRule="atLeast"/>
          <w:jc w:val="center"/>
        </w:trPr>
        <w:tc>
          <w:tcPr>
            <w:tcW w:w="666" w:type="dxa"/>
            <w:vMerge w:val="restart"/>
            <w:tcBorders>
              <w:top w:val="single" w:color="000000" w:sz="4" w:space="0"/>
              <w:left w:val="single" w:color="000000" w:sz="4" w:space="0"/>
              <w:right w:val="single" w:color="000000" w:sz="4" w:space="0"/>
            </w:tcBorders>
            <w:vAlign w:val="center"/>
          </w:tcPr>
          <w:p>
            <w:r>
              <w:t>性能要求</w:t>
            </w: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吞吐量≥5</w:t>
            </w:r>
            <w:r>
              <w:t>000Mbps</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4" w:hRule="atLeast"/>
          <w:jc w:val="center"/>
        </w:trPr>
        <w:tc>
          <w:tcPr>
            <w:tcW w:w="666" w:type="dxa"/>
            <w:vMerge w:val="continue"/>
            <w:tcBorders>
              <w:left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应用层（</w:t>
            </w:r>
            <w:r>
              <w:t>HTTP</w:t>
            </w:r>
            <w:r>
              <w:rPr>
                <w:rFonts w:hint="eastAsia"/>
              </w:rPr>
              <w:t>）吞吐量≥3</w:t>
            </w:r>
            <w:r>
              <w:t>00</w:t>
            </w:r>
            <w:r>
              <w:rPr>
                <w:rFonts w:hint="eastAsia"/>
              </w:rPr>
              <w:t>0</w:t>
            </w:r>
            <w:r>
              <w:t>Mbps</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4" w:hRule="atLeast"/>
          <w:jc w:val="center"/>
        </w:trPr>
        <w:tc>
          <w:tcPr>
            <w:tcW w:w="666" w:type="dxa"/>
            <w:vMerge w:val="continue"/>
            <w:tcBorders>
              <w:left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最大并发会话数≥150万</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4" w:hRule="atLeast"/>
          <w:jc w:val="center"/>
        </w:trPr>
        <w:tc>
          <w:tcPr>
            <w:tcW w:w="666" w:type="dxa"/>
            <w:vMerge w:val="continue"/>
            <w:tcBorders>
              <w:left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t>HTTP</w:t>
            </w:r>
            <w:r>
              <w:rPr>
                <w:rFonts w:hint="eastAsia"/>
              </w:rPr>
              <w:t>请求速率≥34</w:t>
            </w:r>
            <w:r>
              <w:t>00</w:t>
            </w:r>
            <w:r>
              <w:rPr>
                <w:rFonts w:hint="eastAsia"/>
              </w:rPr>
              <w:t>0次/秒</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4" w:hRule="atLeast"/>
          <w:jc w:val="center"/>
        </w:trPr>
        <w:tc>
          <w:tcPr>
            <w:tcW w:w="666" w:type="dxa"/>
            <w:vMerge w:val="continue"/>
            <w:tcBorders>
              <w:left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网络延迟≤</w:t>
            </w:r>
            <w:r>
              <w:t>0.0</w:t>
            </w:r>
            <w:r>
              <w:rPr>
                <w:rFonts w:hint="eastAsia"/>
              </w:rPr>
              <w:t>6毫秒</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不限防护网站数量</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restart"/>
            <w:tcBorders>
              <w:top w:val="single" w:color="000000" w:sz="4" w:space="0"/>
              <w:left w:val="single" w:color="000000" w:sz="4" w:space="0"/>
              <w:right w:val="single" w:color="auto" w:sz="4" w:space="0"/>
            </w:tcBorders>
            <w:vAlign w:val="center"/>
          </w:tcPr>
          <w:p>
            <w:r>
              <w:rPr>
                <w:rFonts w:hint="eastAsia"/>
              </w:rPr>
              <w:t>部署方式</w:t>
            </w:r>
          </w:p>
        </w:tc>
        <w:tc>
          <w:tcPr>
            <w:tcW w:w="8452" w:type="dxa"/>
            <w:tcBorders>
              <w:top w:val="single" w:color="000000" w:sz="4" w:space="0"/>
              <w:left w:val="single" w:color="auto" w:sz="4" w:space="0"/>
              <w:bottom w:val="single" w:color="000000" w:sz="4" w:space="0"/>
              <w:right w:val="single" w:color="000000" w:sz="4" w:space="0"/>
            </w:tcBorders>
            <w:vAlign w:val="center"/>
          </w:tcPr>
          <w:p>
            <w:pPr>
              <w:rPr>
                <w:color w:val="FF0000"/>
              </w:rPr>
            </w:pPr>
            <w:r>
              <w:rPr>
                <w:rFonts w:hint="eastAsia" w:asciiTheme="minorEastAsia" w:hAnsiTheme="minorEastAsia"/>
                <w:bCs/>
                <w:color w:val="000000" w:themeColor="text1"/>
                <w:sz w:val="28"/>
                <w:szCs w:val="28"/>
              </w:rPr>
              <w:t>★</w:t>
            </w:r>
            <w:r>
              <w:rPr>
                <w:rFonts w:hint="eastAsia"/>
              </w:rPr>
              <w:t>支持纯透明部署，需即插即用（无需绑定域名、IP及端口号）即可防护（中标后一周内须通过现场测试验证）</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000000" w:sz="4" w:space="0"/>
              <w:right w:val="single" w:color="auto" w:sz="4" w:space="0"/>
            </w:tcBorders>
            <w:vAlign w:val="center"/>
          </w:tcPr>
          <w:p/>
        </w:tc>
        <w:tc>
          <w:tcPr>
            <w:tcW w:w="8452" w:type="dxa"/>
            <w:tcBorders>
              <w:top w:val="single" w:color="000000" w:sz="4" w:space="0"/>
              <w:left w:val="single" w:color="auto" w:sz="4" w:space="0"/>
              <w:bottom w:val="single" w:color="000000" w:sz="4" w:space="0"/>
              <w:right w:val="single" w:color="000000" w:sz="4" w:space="0"/>
            </w:tcBorders>
            <w:vAlign w:val="center"/>
          </w:tcPr>
          <w:p>
            <w:r>
              <w:rPr>
                <w:rFonts w:hint="eastAsia"/>
              </w:rPr>
              <w:t>支持策略路由部署</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483" w:hRule="atLeast"/>
          <w:jc w:val="center"/>
        </w:trPr>
        <w:tc>
          <w:tcPr>
            <w:tcW w:w="666" w:type="dxa"/>
            <w:vMerge w:val="continue"/>
            <w:tcBorders>
              <w:left w:val="single" w:color="000000" w:sz="4" w:space="0"/>
              <w:right w:val="single" w:color="auto" w:sz="4" w:space="0"/>
            </w:tcBorders>
            <w:vAlign w:val="center"/>
          </w:tcPr>
          <w:p/>
        </w:tc>
        <w:tc>
          <w:tcPr>
            <w:tcW w:w="8452" w:type="dxa"/>
            <w:tcBorders>
              <w:top w:val="single" w:color="000000" w:sz="4" w:space="0"/>
              <w:left w:val="single" w:color="auto" w:sz="4" w:space="0"/>
              <w:bottom w:val="single" w:color="000000" w:sz="4" w:space="0"/>
              <w:right w:val="single" w:color="000000" w:sz="4" w:space="0"/>
            </w:tcBorders>
            <w:vAlign w:val="center"/>
          </w:tcPr>
          <w:p>
            <w:r>
              <w:rPr>
                <w:rFonts w:hint="eastAsia"/>
              </w:rPr>
              <w:t>支持端口汇聚（Trunk），显著提高设备间的吞吐能力（提供界面截图）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restart"/>
            <w:tcBorders>
              <w:top w:val="single" w:color="auto" w:sz="4" w:space="0"/>
              <w:left w:val="single" w:color="auto" w:sz="4" w:space="0"/>
              <w:right w:val="single" w:color="auto" w:sz="4" w:space="0"/>
            </w:tcBorders>
            <w:vAlign w:val="center"/>
          </w:tcPr>
          <w:p>
            <w:r>
              <w:rPr>
                <w:rFonts w:hint="eastAsia" w:asciiTheme="minorEastAsia" w:hAnsiTheme="minorEastAsia"/>
                <w:bCs/>
                <w:color w:val="000000" w:themeColor="text1"/>
                <w:sz w:val="28"/>
                <w:szCs w:val="28"/>
              </w:rPr>
              <w:t>★</w:t>
            </w:r>
            <w:r>
              <w:rPr>
                <w:rFonts w:hint="eastAsia"/>
              </w:rPr>
              <w:t>HTTPS支持</w:t>
            </w:r>
          </w:p>
        </w:tc>
        <w:tc>
          <w:tcPr>
            <w:tcW w:w="8452" w:type="dxa"/>
            <w:tcBorders>
              <w:top w:val="single" w:color="auto" w:sz="4" w:space="0"/>
              <w:left w:val="single" w:color="auto" w:sz="4" w:space="0"/>
              <w:bottom w:val="single" w:color="auto" w:sz="4" w:space="0"/>
              <w:right w:val="single" w:color="000000" w:sz="4" w:space="0"/>
            </w:tcBorders>
            <w:vAlign w:val="center"/>
          </w:tcPr>
          <w:p>
            <w:r>
              <w:rPr>
                <w:rFonts w:hint="eastAsia"/>
              </w:rPr>
              <w:t>支持透明模式、反向代理模式下的HTTPS协议防护，加载证书后由系统在本地完成HTTPS解密过滤再加密转发到服务器，无需服务器端做任何改动。（提供界面截图）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auto" w:sz="4" w:space="0"/>
              <w:right w:val="single" w:color="auto" w:sz="4" w:space="0"/>
            </w:tcBorders>
            <w:vAlign w:val="center"/>
          </w:tcPr>
          <w:p/>
        </w:tc>
        <w:tc>
          <w:tcPr>
            <w:tcW w:w="8452" w:type="dxa"/>
            <w:tcBorders>
              <w:top w:val="single" w:color="auto" w:sz="4" w:space="0"/>
              <w:left w:val="single" w:color="auto" w:sz="4" w:space="0"/>
              <w:bottom w:val="single" w:color="auto" w:sz="4" w:space="0"/>
              <w:right w:val="single" w:color="000000" w:sz="4" w:space="0"/>
            </w:tcBorders>
            <w:vAlign w:val="center"/>
          </w:tcPr>
          <w:p>
            <w:r>
              <w:rPr>
                <w:rFonts w:hint="eastAsia"/>
              </w:rPr>
              <w:t>透明模式下支持上传证书格式：pem、der、pfx、p7b（提供界面截图）。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auto" w:sz="4" w:space="0"/>
              <w:right w:val="single" w:color="auto" w:sz="4" w:space="0"/>
            </w:tcBorders>
            <w:vAlign w:val="center"/>
          </w:tcPr>
          <w:p/>
        </w:tc>
        <w:tc>
          <w:tcPr>
            <w:tcW w:w="8452" w:type="dxa"/>
            <w:tcBorders>
              <w:top w:val="single" w:color="auto" w:sz="4" w:space="0"/>
              <w:left w:val="single" w:color="auto" w:sz="4" w:space="0"/>
              <w:bottom w:val="single" w:color="auto" w:sz="4" w:space="0"/>
              <w:right w:val="single" w:color="000000" w:sz="4" w:space="0"/>
            </w:tcBorders>
            <w:vAlign w:val="center"/>
          </w:tcPr>
          <w:p>
            <w:r>
              <w:rPr>
                <w:rFonts w:hint="eastAsia"/>
              </w:rPr>
              <w:t>透明模式下支持系统自动生成证书对HTTPS报文进行加密过滤（提供界面截图）。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restart"/>
            <w:tcBorders>
              <w:top w:val="single" w:color="auto" w:sz="4" w:space="0"/>
              <w:left w:val="single" w:color="auto" w:sz="4" w:space="0"/>
              <w:right w:val="single" w:color="auto" w:sz="4" w:space="0"/>
            </w:tcBorders>
            <w:vAlign w:val="center"/>
          </w:tcPr>
          <w:p>
            <w:r>
              <w:rPr>
                <w:rFonts w:hint="eastAsia"/>
              </w:rPr>
              <w:t>安全特性</w:t>
            </w:r>
          </w:p>
        </w:tc>
        <w:tc>
          <w:tcPr>
            <w:tcW w:w="8452" w:type="dxa"/>
            <w:tcBorders>
              <w:top w:val="single" w:color="auto" w:sz="4" w:space="0"/>
              <w:left w:val="single" w:color="auto" w:sz="4" w:space="0"/>
              <w:bottom w:val="single" w:color="auto" w:sz="4" w:space="0"/>
              <w:right w:val="single" w:color="000000" w:sz="4" w:space="0"/>
            </w:tcBorders>
            <w:vAlign w:val="center"/>
          </w:tcPr>
          <w:p>
            <w:r>
              <w:rPr>
                <w:rFonts w:hint="eastAsia"/>
              </w:rPr>
              <w:t>能够同时支持IPv6/IPv4环境下的攻击检测和访问策略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auto" w:sz="4" w:space="0"/>
              <w:right w:val="single" w:color="auto" w:sz="4" w:space="0"/>
            </w:tcBorders>
            <w:vAlign w:val="center"/>
          </w:tcPr>
          <w:p/>
        </w:tc>
        <w:tc>
          <w:tcPr>
            <w:tcW w:w="8452" w:type="dxa"/>
            <w:tcBorders>
              <w:top w:val="single" w:color="auto" w:sz="4" w:space="0"/>
              <w:left w:val="single" w:color="auto" w:sz="4" w:space="0"/>
              <w:bottom w:val="single" w:color="000000" w:sz="4" w:space="0"/>
              <w:right w:val="single" w:color="000000" w:sz="4" w:space="0"/>
            </w:tcBorders>
            <w:vAlign w:val="center"/>
          </w:tcPr>
          <w:p>
            <w:r>
              <w:rPr>
                <w:rFonts w:hint="eastAsia"/>
              </w:rPr>
              <w:t>支持隐藏Web</w:t>
            </w:r>
            <w:r>
              <w:t>服务器的类型</w:t>
            </w:r>
            <w:r>
              <w:rPr>
                <w:rFonts w:hint="eastAsia"/>
              </w:rPr>
              <w:t>名称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auto" w:sz="4" w:space="0"/>
              <w:right w:val="single" w:color="auto" w:sz="4" w:space="0"/>
            </w:tcBorders>
            <w:vAlign w:val="center"/>
          </w:tcPr>
          <w:p/>
        </w:tc>
        <w:tc>
          <w:tcPr>
            <w:tcW w:w="8452" w:type="dxa"/>
            <w:tcBorders>
              <w:top w:val="single" w:color="000000" w:sz="4" w:space="0"/>
              <w:left w:val="single" w:color="auto" w:sz="4" w:space="0"/>
              <w:bottom w:val="single" w:color="000000" w:sz="4" w:space="0"/>
              <w:right w:val="single" w:color="000000" w:sz="4" w:space="0"/>
            </w:tcBorders>
            <w:vAlign w:val="center"/>
          </w:tcPr>
          <w:p>
            <w:r>
              <w:rPr>
                <w:rFonts w:hint="eastAsia"/>
              </w:rPr>
              <w:t>支持对恶意</w:t>
            </w:r>
            <w:r>
              <w:t>扫描</w:t>
            </w:r>
            <w:r>
              <w:rPr>
                <w:rFonts w:hint="eastAsia"/>
              </w:rPr>
              <w:t>行为开启</w:t>
            </w:r>
            <w:r>
              <w:t>防扫描功能，</w:t>
            </w:r>
            <w:r>
              <w:rPr>
                <w:rFonts w:hint="eastAsia"/>
              </w:rPr>
              <w:t>用户</w:t>
            </w:r>
            <w:r>
              <w:t>可自定义防护等级。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3" w:hRule="atLeast"/>
          <w:jc w:val="center"/>
        </w:trPr>
        <w:tc>
          <w:tcPr>
            <w:tcW w:w="666" w:type="dxa"/>
            <w:vMerge w:val="continue"/>
            <w:tcBorders>
              <w:left w:val="single" w:color="auto" w:sz="4" w:space="0"/>
              <w:right w:val="single" w:color="auto" w:sz="4" w:space="0"/>
            </w:tcBorders>
            <w:vAlign w:val="center"/>
          </w:tcPr>
          <w:p/>
        </w:tc>
        <w:tc>
          <w:tcPr>
            <w:tcW w:w="8452" w:type="dxa"/>
            <w:tcBorders>
              <w:top w:val="single" w:color="000000" w:sz="4" w:space="0"/>
              <w:left w:val="single" w:color="auto" w:sz="4" w:space="0"/>
              <w:bottom w:val="single" w:color="000000" w:sz="4" w:space="0"/>
              <w:right w:val="single" w:color="000000" w:sz="4" w:space="0"/>
            </w:tcBorders>
            <w:vAlign w:val="center"/>
          </w:tcPr>
          <w:p>
            <w:r>
              <w:rPr>
                <w:rFonts w:hint="eastAsia"/>
              </w:rPr>
              <w:t>真实来源IP解析：支持解析通过代理服务器访问用户的真实IP地址，默认支持X-Real-IP或X-Forwarded-For字段的值作为真实来源IP地址，同时支持用户自定义字段名称。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634" w:hRule="atLeast"/>
          <w:jc w:val="center"/>
        </w:trPr>
        <w:tc>
          <w:tcPr>
            <w:tcW w:w="666" w:type="dxa"/>
            <w:vMerge w:val="continue"/>
            <w:tcBorders>
              <w:left w:val="single" w:color="auto" w:sz="4" w:space="0"/>
              <w:right w:val="single" w:color="auto" w:sz="4" w:space="0"/>
            </w:tcBorders>
            <w:vAlign w:val="center"/>
          </w:tcPr>
          <w:p/>
        </w:tc>
        <w:tc>
          <w:tcPr>
            <w:tcW w:w="8452" w:type="dxa"/>
            <w:tcBorders>
              <w:top w:val="single" w:color="000000" w:sz="4" w:space="0"/>
              <w:left w:val="single" w:color="auto" w:sz="4" w:space="0"/>
              <w:right w:val="single" w:color="000000" w:sz="4" w:space="0"/>
            </w:tcBorders>
            <w:vAlign w:val="center"/>
          </w:tcPr>
          <w:p>
            <w:r>
              <w:rPr>
                <w:rFonts w:hint="eastAsia" w:asciiTheme="minorEastAsia" w:hAnsiTheme="minorEastAsia"/>
                <w:bCs/>
                <w:color w:val="000000" w:themeColor="text1"/>
                <w:sz w:val="28"/>
                <w:szCs w:val="28"/>
              </w:rPr>
              <w:t>★</w:t>
            </w:r>
            <w:r>
              <w:rPr>
                <w:rFonts w:hint="eastAsia"/>
              </w:rPr>
              <w:t>支持任意碎片组包、支持超长报文组包设置，功能界面上可以对报文大小优先进行设置。（报文大小设置不低于30M）（提供界面截图）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66" w:hRule="atLeast"/>
          <w:jc w:val="center"/>
        </w:trPr>
        <w:tc>
          <w:tcPr>
            <w:tcW w:w="666" w:type="dxa"/>
            <w:vMerge w:val="restart"/>
            <w:tcBorders>
              <w:top w:val="single" w:color="000000" w:sz="4" w:space="0"/>
              <w:left w:val="single" w:color="000000" w:sz="4" w:space="0"/>
              <w:bottom w:val="single" w:color="000000" w:sz="4" w:space="0"/>
              <w:right w:val="single" w:color="000000" w:sz="4" w:space="0"/>
            </w:tcBorders>
            <w:vAlign w:val="center"/>
          </w:tcPr>
          <w:p>
            <w:r>
              <w:rPr>
                <w:rFonts w:hint="eastAsia"/>
              </w:rPr>
              <w:t>攻击防御</w:t>
            </w:r>
            <w:r>
              <w:rPr>
                <w:rFonts w:hint="eastAsia" w:ascii="Times New Roman" w:hAnsi="Times New Roman" w:eastAsia="宋体" w:cs="Times New Roman"/>
                <w:kern w:val="2"/>
                <w:sz w:val="21"/>
                <w:szCs w:val="20"/>
              </w:rPr>
              <w:t>手段</w:t>
            </w: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支持多虚拟</w:t>
            </w:r>
            <w:r>
              <w:t>web</w:t>
            </w:r>
            <w:r>
              <w:rPr>
                <w:rFonts w:hint="eastAsia"/>
              </w:rPr>
              <w:t>主机同时防护</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t>SQL</w:t>
            </w:r>
            <w:r>
              <w:rPr>
                <w:rFonts w:hint="eastAsia"/>
              </w:rPr>
              <w:t>注入攻击：攻击者通过输入数据库查询代码窃取或修改数据库中的数据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XSS跨站攻击：跨站脚本攻击利用网站漏洞攻击那些访问该站点的用户，常见目的是采取窃取该站点访问者相关的用户登陆或认证问博信息</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关键文件下载：攻击者通过工具或特殊命令下载网站系统的数据库文件、配置文件信息</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木马上传：攻击者利用黑客工具上传</w:t>
            </w:r>
            <w:r>
              <w:t>Webshell</w:t>
            </w:r>
            <w:r>
              <w:rPr>
                <w:rFonts w:hint="eastAsia"/>
              </w:rPr>
              <w:t>以达到控制服务器的目的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具有智能化阻断功能：基于智能用户行为识别的动态防护机制，识别并彻底阻断黑客的攻击行为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关键字过滤：支持敏感关键字过滤功能，用户可自定义关键字内容（提供界面截图）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asciiTheme="minorEastAsia" w:hAnsiTheme="minorEastAsia"/>
                <w:bCs/>
                <w:color w:val="000000" w:themeColor="text1"/>
                <w:sz w:val="28"/>
                <w:szCs w:val="28"/>
              </w:rPr>
              <w:t>★</w:t>
            </w:r>
            <w:r>
              <w:rPr>
                <w:rFonts w:hint="eastAsia"/>
              </w:rPr>
              <w:t>备案检查功能：检测网站的ICP备案情况，对于通过备案网站优先放行，未通过备案才禁止访问。（提供界面截图）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自动学习并构建网站的URL模型，禁止违反现有模型的尝试行为（提供界面截图）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智能防扫描功能：通过扫描器“行为特征”智能判断扫描器</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网站统计功能：能统计每天不同时段后端防护网站各个时段的访问博次数、攻击次数并绘制成图表</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35" w:hRule="atLeast"/>
          <w:jc w:val="center"/>
        </w:trPr>
        <w:tc>
          <w:tcPr>
            <w:tcW w:w="666" w:type="dxa"/>
            <w:tcBorders>
              <w:top w:val="single" w:color="000000" w:sz="4" w:space="0"/>
              <w:left w:val="single" w:color="000000" w:sz="4" w:space="0"/>
              <w:bottom w:val="single" w:color="000000" w:sz="4" w:space="0"/>
              <w:right w:val="single" w:color="000000" w:sz="4" w:space="0"/>
            </w:tcBorders>
            <w:vAlign w:val="center"/>
          </w:tcPr>
          <w:p>
            <w:r>
              <w:rPr>
                <w:rFonts w:hint="eastAsia"/>
              </w:rPr>
              <w:t>交互式统计视图</w:t>
            </w: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可以生成攻击访问地域视图，可按国家、省份、市交互式呈现。统计客户端访问来自于哪些搜索引擎、搜索词以及访客排行，以便用户更好的了解自己网站的访问信息（提供界面截图）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660" w:hRule="atLeast"/>
          <w:jc w:val="center"/>
        </w:trPr>
        <w:tc>
          <w:tcPr>
            <w:tcW w:w="666" w:type="dxa"/>
            <w:vMerge w:val="restart"/>
            <w:tcBorders>
              <w:top w:val="single" w:color="000000" w:sz="4" w:space="0"/>
              <w:left w:val="single" w:color="000000" w:sz="4" w:space="0"/>
              <w:bottom w:val="single" w:color="000000" w:sz="4" w:space="0"/>
              <w:right w:val="single" w:color="000000" w:sz="4" w:space="0"/>
            </w:tcBorders>
            <w:vAlign w:val="center"/>
          </w:tcPr>
          <w:p>
            <w:r>
              <w:t>报表功能</w:t>
            </w:r>
          </w:p>
        </w:tc>
        <w:tc>
          <w:tcPr>
            <w:tcW w:w="8452" w:type="dxa"/>
            <w:tcBorders>
              <w:top w:val="single" w:color="000000" w:sz="4" w:space="0"/>
              <w:left w:val="single" w:color="000000" w:sz="4" w:space="0"/>
              <w:bottom w:val="single" w:color="auto" w:sz="4" w:space="0"/>
              <w:right w:val="single" w:color="000000" w:sz="4" w:space="0"/>
            </w:tcBorders>
            <w:vAlign w:val="center"/>
          </w:tcPr>
          <w:p>
            <w:r>
              <w:rPr>
                <w:rFonts w:hint="eastAsia"/>
              </w:rPr>
              <w:t>安全报表（入侵统计、按入侵类别统计、被攻击主机、攻击来源</w:t>
            </w:r>
            <w:r>
              <w:t>IP</w:t>
            </w:r>
            <w:r>
              <w:rPr>
                <w:rFonts w:hint="eastAsia"/>
              </w:rPr>
              <w:t>和地理位置、页面访问次数、网络接口流量趋势）</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587"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auto" w:sz="4" w:space="0"/>
              <w:left w:val="single" w:color="000000" w:sz="4" w:space="0"/>
              <w:bottom w:val="single" w:color="auto" w:sz="4" w:space="0"/>
              <w:right w:val="single" w:color="000000" w:sz="4" w:space="0"/>
            </w:tcBorders>
            <w:vAlign w:val="center"/>
          </w:tcPr>
          <w:p>
            <w:r>
              <w:rPr>
                <w:rFonts w:hint="eastAsia" w:asciiTheme="minorEastAsia" w:hAnsiTheme="minorEastAsia"/>
                <w:bCs/>
                <w:color w:val="000000" w:themeColor="text1"/>
                <w:sz w:val="28"/>
                <w:szCs w:val="28"/>
              </w:rPr>
              <w:t>★</w:t>
            </w:r>
            <w:r>
              <w:rPr>
                <w:rFonts w:hint="eastAsia"/>
              </w:rPr>
              <w:t>报表中可以统计</w:t>
            </w:r>
            <w:r>
              <w:t>URL</w:t>
            </w:r>
            <w:r>
              <w:rPr>
                <w:rFonts w:hint="eastAsia"/>
              </w:rPr>
              <w:t>访问的次数，可记录最后访问者的浏览器类型者（提供界面截图，）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3"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asciiTheme="minorEastAsia" w:hAnsiTheme="minorEastAsia"/>
                <w:bCs/>
                <w:color w:val="000000" w:themeColor="text1"/>
                <w:sz w:val="28"/>
                <w:szCs w:val="28"/>
              </w:rPr>
              <w:t>★</w:t>
            </w:r>
            <w:r>
              <w:rPr>
                <w:rFonts w:hint="eastAsia"/>
              </w:rPr>
              <w:t>Webshell提示：生成的报表中需提供对防护Web网站中已经存在Webshell文件的告警功能（提供界面截图）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3" w:hRule="atLeast"/>
          <w:jc w:val="center"/>
        </w:trPr>
        <w:tc>
          <w:tcPr>
            <w:tcW w:w="666" w:type="dxa"/>
            <w:vMerge w:val="restart"/>
            <w:tcBorders>
              <w:top w:val="single" w:color="000000" w:sz="4" w:space="0"/>
              <w:left w:val="single" w:color="000000" w:sz="4" w:space="0"/>
              <w:bottom w:val="single" w:color="000000" w:sz="4" w:space="0"/>
              <w:right w:val="single" w:color="000000" w:sz="4" w:space="0"/>
            </w:tcBorders>
            <w:vAlign w:val="center"/>
          </w:tcPr>
          <w:p>
            <w:r>
              <w:rPr>
                <w:rFonts w:hint="eastAsia"/>
              </w:rPr>
              <w:t>管理功能</w:t>
            </w: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提供接入即防护的能力</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3"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针对高级用户，对于访问控制、防篡改等功能，支持灵活时间段的计划任务（提供界面截图）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3" w:hRule="atLeast"/>
          <w:jc w:val="center"/>
        </w:trPr>
        <w:tc>
          <w:tcPr>
            <w:tcW w:w="666" w:type="dxa"/>
            <w:vMerge w:val="continue"/>
            <w:tcBorders>
              <w:top w:val="single" w:color="000000" w:sz="4" w:space="0"/>
              <w:left w:val="single" w:color="000000" w:sz="4" w:space="0"/>
              <w:bottom w:val="single" w:color="000000" w:sz="4" w:space="0"/>
              <w:right w:val="single" w:color="000000" w:sz="4" w:space="0"/>
            </w:tcBorders>
            <w:vAlign w:val="center"/>
          </w:tcPr>
          <w:p/>
        </w:tc>
        <w:tc>
          <w:tcPr>
            <w:tcW w:w="8452" w:type="dxa"/>
            <w:tcBorders>
              <w:top w:val="single" w:color="000000" w:sz="4" w:space="0"/>
              <w:left w:val="single" w:color="000000" w:sz="4" w:space="0"/>
              <w:bottom w:val="single" w:color="000000" w:sz="4" w:space="0"/>
              <w:right w:val="single" w:color="000000" w:sz="4" w:space="0"/>
            </w:tcBorders>
            <w:vAlign w:val="center"/>
          </w:tcPr>
          <w:p>
            <w:r>
              <w:rPr>
                <w:rFonts w:hint="eastAsia"/>
              </w:rPr>
              <w:t>支持基于</w:t>
            </w:r>
            <w:r>
              <w:t>HTTPS</w:t>
            </w:r>
            <w:r>
              <w:rPr>
                <w:rFonts w:hint="eastAsia"/>
              </w:rPr>
              <w:t>的</w:t>
            </w:r>
            <w:r>
              <w:t>B/S</w:t>
            </w:r>
            <w:r>
              <w:rPr>
                <w:rFonts w:hint="eastAsia"/>
              </w:rPr>
              <w:t>管理</w:t>
            </w:r>
          </w:p>
        </w:tc>
      </w:tr>
    </w:tbl>
    <w:p>
      <w:pPr>
        <w:spacing w:line="360" w:lineRule="auto"/>
        <w:ind w:firstLine="551" w:firstLineChars="196"/>
        <w:rPr>
          <w:rFonts w:asciiTheme="minorEastAsia" w:hAnsiTheme="minorEastAsia" w:eastAsiaTheme="minorEastAsia"/>
          <w:b/>
          <w:bCs/>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设备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（2）保修期：免费质保期3年，自验收合格之日起算，并提供相关承诺书。质保期内发生任何设备损坏，所需要的维修费用（包括零部件费用、维修费用）均由卖方承担（人为操作不当造成的损坏除外）。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24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合同签订生效后，一周内全部设备、材料运抵现场，并安装、调试结束，验收合格，交付买方使用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eastAsia="宋体" w:asciiTheme="minorEastAsia" w:hAnsiTheme="minorEastAsia"/>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rFonts w:asciiTheme="minorEastAsia" w:hAnsiTheme="minorEastAsia" w:eastAsiaTheme="minorEastAsia" w:cstheme="minorEastAsia"/>
          <w:sz w:val="28"/>
          <w:szCs w:val="28"/>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jc w:val="both"/>
        <w:rPr>
          <w:rFonts w:ascii="宋体" w:hAnsi="宋体" w:eastAsia="宋体"/>
          <w:b/>
          <w:bCs/>
          <w:sz w:val="44"/>
          <w:szCs w:val="44"/>
        </w:rPr>
      </w:pPr>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976"/>
        <w:gridCol w:w="5592"/>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4" w:hRule="atLeast"/>
          <w:tblHeader/>
        </w:trPr>
        <w:tc>
          <w:tcPr>
            <w:tcW w:w="53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76"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59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53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76"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w:t>
            </w:r>
          </w:p>
        </w:tc>
        <w:tc>
          <w:tcPr>
            <w:tcW w:w="5592"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分。其他投标人的价格分统一按照以下公式计算：投标人评标价得分=（A／该投标人评标价）×</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532"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76"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w:t>
            </w:r>
            <w:r>
              <w:rPr>
                <w:rFonts w:hint="eastAsia" w:cs="Arial" w:asciiTheme="minorEastAsia" w:hAnsiTheme="minorEastAsia" w:eastAsiaTheme="minorEastAsia"/>
                <w:bCs/>
                <w:sz w:val="24"/>
                <w:szCs w:val="24"/>
              </w:rPr>
              <w:t>方案</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35</w:t>
            </w:r>
            <w:r>
              <w:rPr>
                <w:rFonts w:cs="Arial" w:asciiTheme="minorEastAsia" w:hAnsiTheme="minorEastAsia" w:eastAsiaTheme="minorEastAsia"/>
                <w:bCs/>
                <w:sz w:val="24"/>
                <w:szCs w:val="24"/>
              </w:rPr>
              <w:t>分）</w:t>
            </w:r>
          </w:p>
        </w:tc>
        <w:tc>
          <w:tcPr>
            <w:tcW w:w="5592"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根据各投标产品的先进性、匹配性、可靠性、稳定性以及质量、性能酌情打分，较好4-5分，一般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分，其他0-1分。</w:t>
            </w:r>
          </w:p>
        </w:tc>
        <w:tc>
          <w:tcPr>
            <w:tcW w:w="1080"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532" w:type="dxa"/>
            <w:vMerge w:val="continue"/>
            <w:vAlign w:val="center"/>
          </w:tcPr>
          <w:p>
            <w:pPr>
              <w:spacing w:line="360" w:lineRule="auto"/>
              <w:jc w:val="center"/>
              <w:rPr>
                <w:rFonts w:cs="Arial" w:asciiTheme="minorEastAsia" w:hAnsiTheme="minorEastAsia" w:eastAsiaTheme="minorEastAsia"/>
                <w:bCs/>
                <w:sz w:val="24"/>
                <w:szCs w:val="24"/>
              </w:rPr>
            </w:pPr>
          </w:p>
        </w:tc>
        <w:tc>
          <w:tcPr>
            <w:tcW w:w="1976" w:type="dxa"/>
            <w:vMerge w:val="continue"/>
            <w:vAlign w:val="center"/>
          </w:tcPr>
          <w:p>
            <w:pPr>
              <w:spacing w:line="360" w:lineRule="auto"/>
              <w:rPr>
                <w:rFonts w:cs="Arial" w:asciiTheme="minorEastAsia" w:hAnsiTheme="minorEastAsia" w:eastAsiaTheme="minorEastAsia"/>
                <w:bCs/>
                <w:sz w:val="24"/>
                <w:szCs w:val="24"/>
              </w:rPr>
            </w:pPr>
          </w:p>
        </w:tc>
        <w:tc>
          <w:tcPr>
            <w:tcW w:w="5592"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满足招标文件技术指标、参数要求的得24分（" ★"项的为主要指标，不满足的每项减3分；其他每一项偏离减1分。</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每有一项优于招标文件，经评委会认可的加1分，最多加6分。） </w:t>
            </w:r>
          </w:p>
        </w:tc>
        <w:tc>
          <w:tcPr>
            <w:tcW w:w="1080"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9" w:hRule="atLeast"/>
        </w:trPr>
        <w:tc>
          <w:tcPr>
            <w:tcW w:w="532"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76"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592"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asciiTheme="minorEastAsia" w:hAnsiTheme="minorEastAsia" w:eastAsiaTheme="minorEastAsia" w:cstheme="minorEastAsia"/>
                <w:bCs/>
                <w:sz w:val="23"/>
                <w:szCs w:val="23"/>
              </w:rPr>
              <w:t>方案完整、合理可行的得10-13分；方案较完整、较合理可行的得6-9分；方案不完整、不合理不可行的得0-5分</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532" w:type="dxa"/>
            <w:vMerge w:val="continue"/>
            <w:vAlign w:val="center"/>
          </w:tcPr>
          <w:p>
            <w:pPr>
              <w:spacing w:line="360" w:lineRule="auto"/>
              <w:jc w:val="center"/>
              <w:rPr>
                <w:rFonts w:cs="Arial" w:asciiTheme="minorEastAsia" w:hAnsiTheme="minorEastAsia" w:eastAsiaTheme="minorEastAsia"/>
                <w:bCs/>
                <w:sz w:val="24"/>
                <w:szCs w:val="24"/>
              </w:rPr>
            </w:pPr>
          </w:p>
        </w:tc>
        <w:tc>
          <w:tcPr>
            <w:tcW w:w="1976" w:type="dxa"/>
            <w:vMerge w:val="continue"/>
            <w:vAlign w:val="center"/>
          </w:tcPr>
          <w:p>
            <w:pPr>
              <w:spacing w:line="360" w:lineRule="auto"/>
              <w:rPr>
                <w:rFonts w:cs="Arial" w:asciiTheme="minorEastAsia" w:hAnsiTheme="minorEastAsia" w:eastAsiaTheme="minorEastAsia"/>
                <w:bCs/>
                <w:sz w:val="24"/>
                <w:szCs w:val="24"/>
              </w:rPr>
            </w:pPr>
          </w:p>
        </w:tc>
        <w:tc>
          <w:tcPr>
            <w:tcW w:w="5592"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6" w:hRule="atLeast"/>
        </w:trPr>
        <w:tc>
          <w:tcPr>
            <w:tcW w:w="53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76"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592" w:type="dxa"/>
            <w:vAlign w:val="center"/>
          </w:tcPr>
          <w:p>
            <w:pPr>
              <w:spacing w:line="360" w:lineRule="auto"/>
              <w:ind w:firstLine="240" w:firstLineChars="100"/>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投标产品2017年01月01日以来的类似项目业绩，每提供一个得1分，最高得3分。 （请提供有效的加盖公章的合同复印件）</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53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76"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592"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trPr>
        <w:tc>
          <w:tcPr>
            <w:tcW w:w="53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76"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592"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1" w:hRule="atLeast"/>
        </w:trPr>
        <w:tc>
          <w:tcPr>
            <w:tcW w:w="532"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76" w:type="dxa"/>
            <w:vMerge w:val="restart"/>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产品资质</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592"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1、获得国家保密局涉密信息系统安全保密测评中心颁发针对该产品《涉密信息系统产品检测证书》。</w:t>
            </w:r>
          </w:p>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4"/>
                <w:szCs w:val="24"/>
              </w:rPr>
              <w:t>2、获得中国信息安全认证中心颁发的符合ISCCC-IR-007:2011要求的《IT产品信息安全认证证书》。</w:t>
            </w:r>
            <w:r>
              <w:rPr>
                <w:rFonts w:cs="Arial" w:asciiTheme="minorEastAsia" w:hAnsiTheme="minorEastAsia" w:eastAsiaTheme="minorEastAsia"/>
                <w:bCs/>
                <w:sz w:val="24"/>
                <w:szCs w:val="24"/>
              </w:rPr>
              <w:t xml:space="preserve"> </w:t>
            </w:r>
            <w:r>
              <w:rPr>
                <w:rFonts w:hint="eastAsia" w:cs="Arial" w:asciiTheme="minorEastAsia" w:hAnsiTheme="minorEastAsia" w:eastAsiaTheme="minorEastAsia"/>
                <w:bCs/>
                <w:sz w:val="24"/>
                <w:szCs w:val="24"/>
                <w:lang w:eastAsia="zh-CN"/>
              </w:rPr>
              <w:t>同时提供以上材料的得</w:t>
            </w:r>
            <w:r>
              <w:rPr>
                <w:rFonts w:hint="eastAsia" w:cs="Arial" w:asciiTheme="minorEastAsia" w:hAnsiTheme="minorEastAsia" w:eastAsiaTheme="minorEastAsia"/>
                <w:bCs/>
                <w:sz w:val="24"/>
                <w:szCs w:val="24"/>
                <w:lang w:val="en-US" w:eastAsia="zh-CN"/>
              </w:rPr>
              <w:t>1分，缺一个不得分；</w:t>
            </w:r>
            <w:r>
              <w:rPr>
                <w:rFonts w:hint="eastAsia" w:cs="Arial" w:asciiTheme="minorEastAsia" w:hAnsiTheme="minorEastAsia" w:eastAsiaTheme="minorEastAsia"/>
                <w:bCs/>
                <w:sz w:val="24"/>
                <w:szCs w:val="24"/>
                <w:lang w:eastAsia="zh-CN"/>
              </w:rPr>
              <w:t>提供复印件（加盖公章），原件备查</w:t>
            </w:r>
            <w:bookmarkStart w:id="180" w:name="_GoBack"/>
            <w:bookmarkEnd w:id="180"/>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0" w:hRule="atLeast"/>
        </w:trPr>
        <w:tc>
          <w:tcPr>
            <w:tcW w:w="532" w:type="dxa"/>
            <w:vMerge w:val="continue"/>
            <w:vAlign w:val="center"/>
          </w:tcPr>
          <w:p>
            <w:pPr>
              <w:spacing w:line="360" w:lineRule="auto"/>
              <w:jc w:val="center"/>
              <w:rPr>
                <w:rFonts w:hint="eastAsia" w:cs="Arial" w:asciiTheme="minorEastAsia" w:hAnsiTheme="minorEastAsia" w:eastAsiaTheme="minorEastAsia"/>
                <w:bCs/>
                <w:sz w:val="24"/>
                <w:szCs w:val="24"/>
              </w:rPr>
            </w:pPr>
          </w:p>
        </w:tc>
        <w:tc>
          <w:tcPr>
            <w:tcW w:w="1976" w:type="dxa"/>
            <w:vMerge w:val="continue"/>
            <w:vAlign w:val="center"/>
          </w:tcPr>
          <w:p>
            <w:pPr>
              <w:spacing w:line="360" w:lineRule="auto"/>
              <w:rPr>
                <w:rFonts w:hint="eastAsia" w:cs="Arial" w:asciiTheme="minorEastAsia" w:hAnsiTheme="minorEastAsia" w:eastAsiaTheme="minorEastAsia"/>
                <w:bCs/>
                <w:sz w:val="24"/>
                <w:szCs w:val="24"/>
              </w:rPr>
            </w:pPr>
          </w:p>
        </w:tc>
        <w:tc>
          <w:tcPr>
            <w:tcW w:w="5592"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3、具有由国家计算机网络应急处理协调中心省级分中心或国家中心聘请的公共互联网络安全专家，提供证书复印件。</w:t>
            </w:r>
          </w:p>
          <w:p>
            <w:pPr>
              <w:spacing w:line="360" w:lineRule="auto"/>
              <w:rPr>
                <w:rFonts w:hint="eastAsia"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4、设备生产厂商应具有漏洞发现能力，具备《中国国家信息安全漏洞库（CNNVD）技术支撑单位资质》，至少曾经获得中国信息安全测评中心颁发《中国国家漏洞库-信息安全漏洞提交证明》，不低于15份</w:t>
            </w:r>
          </w:p>
          <w:p>
            <w:pPr>
              <w:spacing w:line="360" w:lineRule="auto"/>
              <w:rPr>
                <w:rFonts w:hint="eastAsia" w:cs="Arial" w:asciiTheme="minorEastAsia" w:hAnsiTheme="minorEastAsia" w:eastAsiaTheme="minorEastAsia"/>
                <w:bCs/>
                <w:sz w:val="24"/>
                <w:szCs w:val="24"/>
              </w:rPr>
            </w:pPr>
            <w:r>
              <w:rPr>
                <w:rFonts w:hint="eastAsia" w:cs="Arial" w:asciiTheme="minorEastAsia" w:hAnsiTheme="minorEastAsia" w:eastAsiaTheme="minorEastAsia"/>
                <w:bCs/>
                <w:sz w:val="24"/>
                <w:szCs w:val="24"/>
                <w:lang w:eastAsia="zh-CN"/>
              </w:rPr>
              <w:t>同时提供以上材料的得</w:t>
            </w:r>
            <w:r>
              <w:rPr>
                <w:rFonts w:hint="eastAsia" w:cs="Arial" w:asciiTheme="minorEastAsia" w:hAnsiTheme="minorEastAsia" w:eastAsiaTheme="minorEastAsia"/>
                <w:bCs/>
                <w:sz w:val="24"/>
                <w:szCs w:val="24"/>
                <w:lang w:val="en-US" w:eastAsia="zh-CN"/>
              </w:rPr>
              <w:t>1分，缺一个不得分；</w:t>
            </w:r>
            <w:r>
              <w:rPr>
                <w:rFonts w:hint="eastAsia" w:cs="Arial" w:asciiTheme="minorEastAsia" w:hAnsiTheme="minorEastAsia" w:eastAsiaTheme="minorEastAsia"/>
                <w:bCs/>
                <w:sz w:val="24"/>
                <w:szCs w:val="24"/>
                <w:lang w:eastAsia="zh-CN"/>
              </w:rPr>
              <w:t>提供复印件（加盖公章），原件备查</w:t>
            </w:r>
          </w:p>
        </w:tc>
        <w:tc>
          <w:tcPr>
            <w:tcW w:w="1080"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bl>
    <w:p>
      <w:pPr>
        <w:spacing w:line="360" w:lineRule="auto"/>
        <w:rPr>
          <w:rFonts w:asciiTheme="minorEastAsia" w:hAnsiTheme="minorEastAsia" w:eastAsiaTheme="minorEastAsia"/>
          <w:bCs/>
          <w:sz w:val="28"/>
          <w:szCs w:val="28"/>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120614282"/>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2.1结算方式：</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4A56"/>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B5632"/>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6026B"/>
    <w:rsid w:val="00160A9B"/>
    <w:rsid w:val="00162A74"/>
    <w:rsid w:val="00163B99"/>
    <w:rsid w:val="001647DF"/>
    <w:rsid w:val="00165E37"/>
    <w:rsid w:val="00166953"/>
    <w:rsid w:val="001674B0"/>
    <w:rsid w:val="00167738"/>
    <w:rsid w:val="00170D4A"/>
    <w:rsid w:val="0018443B"/>
    <w:rsid w:val="0018461E"/>
    <w:rsid w:val="00191954"/>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000"/>
    <w:rsid w:val="001F4F63"/>
    <w:rsid w:val="0020432E"/>
    <w:rsid w:val="002070F5"/>
    <w:rsid w:val="00232127"/>
    <w:rsid w:val="002327D4"/>
    <w:rsid w:val="00244DA0"/>
    <w:rsid w:val="002453B7"/>
    <w:rsid w:val="0025535E"/>
    <w:rsid w:val="00266C11"/>
    <w:rsid w:val="00272CB4"/>
    <w:rsid w:val="00295368"/>
    <w:rsid w:val="002A4DD3"/>
    <w:rsid w:val="002D2055"/>
    <w:rsid w:val="002D6142"/>
    <w:rsid w:val="002E0FA7"/>
    <w:rsid w:val="002E598A"/>
    <w:rsid w:val="002F20E4"/>
    <w:rsid w:val="002F225B"/>
    <w:rsid w:val="002F52EF"/>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E51BC"/>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C69A2"/>
    <w:rsid w:val="004E0EEC"/>
    <w:rsid w:val="004E3402"/>
    <w:rsid w:val="004E3450"/>
    <w:rsid w:val="004E3A17"/>
    <w:rsid w:val="004F063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57C"/>
    <w:rsid w:val="00596F67"/>
    <w:rsid w:val="005B00B9"/>
    <w:rsid w:val="005B44B4"/>
    <w:rsid w:val="005C005E"/>
    <w:rsid w:val="005C66D3"/>
    <w:rsid w:val="005C7D94"/>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365D0"/>
    <w:rsid w:val="0074740B"/>
    <w:rsid w:val="00747556"/>
    <w:rsid w:val="007543D9"/>
    <w:rsid w:val="00754FBF"/>
    <w:rsid w:val="00755373"/>
    <w:rsid w:val="00761DB1"/>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1B7"/>
    <w:rsid w:val="00853556"/>
    <w:rsid w:val="008545FA"/>
    <w:rsid w:val="00863149"/>
    <w:rsid w:val="00881E8B"/>
    <w:rsid w:val="00891674"/>
    <w:rsid w:val="008940B1"/>
    <w:rsid w:val="00896CD5"/>
    <w:rsid w:val="008B154E"/>
    <w:rsid w:val="008B7726"/>
    <w:rsid w:val="008C7C99"/>
    <w:rsid w:val="008E0843"/>
    <w:rsid w:val="008E6860"/>
    <w:rsid w:val="008F3684"/>
    <w:rsid w:val="008F5952"/>
    <w:rsid w:val="008F6FC4"/>
    <w:rsid w:val="008F7663"/>
    <w:rsid w:val="00901E4A"/>
    <w:rsid w:val="009059BB"/>
    <w:rsid w:val="009124F7"/>
    <w:rsid w:val="00913A47"/>
    <w:rsid w:val="00914B43"/>
    <w:rsid w:val="00917C9A"/>
    <w:rsid w:val="00922C31"/>
    <w:rsid w:val="0093235D"/>
    <w:rsid w:val="009330FF"/>
    <w:rsid w:val="00937A6C"/>
    <w:rsid w:val="00944F3E"/>
    <w:rsid w:val="00950B43"/>
    <w:rsid w:val="00953B62"/>
    <w:rsid w:val="00953E8C"/>
    <w:rsid w:val="00954E6B"/>
    <w:rsid w:val="009569A2"/>
    <w:rsid w:val="00982CE2"/>
    <w:rsid w:val="00985BBC"/>
    <w:rsid w:val="00992C71"/>
    <w:rsid w:val="00994DC6"/>
    <w:rsid w:val="0099642C"/>
    <w:rsid w:val="009A7A76"/>
    <w:rsid w:val="009B386E"/>
    <w:rsid w:val="009B43A1"/>
    <w:rsid w:val="009B4528"/>
    <w:rsid w:val="009B498C"/>
    <w:rsid w:val="009B73BF"/>
    <w:rsid w:val="009C242B"/>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26271"/>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35651"/>
    <w:rsid w:val="00C40E65"/>
    <w:rsid w:val="00C541CB"/>
    <w:rsid w:val="00C55166"/>
    <w:rsid w:val="00C714F0"/>
    <w:rsid w:val="00C73C81"/>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5FD8"/>
    <w:rsid w:val="00DC26C4"/>
    <w:rsid w:val="00DD657A"/>
    <w:rsid w:val="00DE05FA"/>
    <w:rsid w:val="00DE421A"/>
    <w:rsid w:val="00DF0047"/>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34A1"/>
    <w:rsid w:val="00E75074"/>
    <w:rsid w:val="00E7595B"/>
    <w:rsid w:val="00E81B75"/>
    <w:rsid w:val="00E846FB"/>
    <w:rsid w:val="00E85DDD"/>
    <w:rsid w:val="00E95E13"/>
    <w:rsid w:val="00E9733E"/>
    <w:rsid w:val="00EA5C99"/>
    <w:rsid w:val="00EA62FB"/>
    <w:rsid w:val="00EA6CDE"/>
    <w:rsid w:val="00EB0C34"/>
    <w:rsid w:val="00EB12E4"/>
    <w:rsid w:val="00EB187E"/>
    <w:rsid w:val="00EC0CDD"/>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215666C"/>
    <w:rsid w:val="0752147A"/>
    <w:rsid w:val="097B5CAD"/>
    <w:rsid w:val="0BA95356"/>
    <w:rsid w:val="0D7C3718"/>
    <w:rsid w:val="10A63DA5"/>
    <w:rsid w:val="1214484F"/>
    <w:rsid w:val="199C602D"/>
    <w:rsid w:val="1AF12D95"/>
    <w:rsid w:val="1B675A71"/>
    <w:rsid w:val="1CDC7552"/>
    <w:rsid w:val="1EB74EA0"/>
    <w:rsid w:val="1F320A1B"/>
    <w:rsid w:val="1F375231"/>
    <w:rsid w:val="1FD77C03"/>
    <w:rsid w:val="224B6541"/>
    <w:rsid w:val="226D6361"/>
    <w:rsid w:val="23711F72"/>
    <w:rsid w:val="23CA13A0"/>
    <w:rsid w:val="24D13124"/>
    <w:rsid w:val="26027802"/>
    <w:rsid w:val="29295E43"/>
    <w:rsid w:val="2B022D2F"/>
    <w:rsid w:val="30C33D3E"/>
    <w:rsid w:val="33836982"/>
    <w:rsid w:val="35825F36"/>
    <w:rsid w:val="38DC25D8"/>
    <w:rsid w:val="3ECC16E3"/>
    <w:rsid w:val="3F6630CC"/>
    <w:rsid w:val="3FF422BE"/>
    <w:rsid w:val="433E03B1"/>
    <w:rsid w:val="44FB7083"/>
    <w:rsid w:val="463E31DA"/>
    <w:rsid w:val="471F002F"/>
    <w:rsid w:val="47C14A92"/>
    <w:rsid w:val="491F448C"/>
    <w:rsid w:val="49273257"/>
    <w:rsid w:val="4B2A7858"/>
    <w:rsid w:val="4CB01A46"/>
    <w:rsid w:val="4D3D0D90"/>
    <w:rsid w:val="4E7B71C4"/>
    <w:rsid w:val="4ECE3AD9"/>
    <w:rsid w:val="54474247"/>
    <w:rsid w:val="5823579E"/>
    <w:rsid w:val="58774C6F"/>
    <w:rsid w:val="5A10682C"/>
    <w:rsid w:val="5A5775EF"/>
    <w:rsid w:val="5B650CDC"/>
    <w:rsid w:val="5DFA1E15"/>
    <w:rsid w:val="60903F2E"/>
    <w:rsid w:val="60EC5FD5"/>
    <w:rsid w:val="62CD3F75"/>
    <w:rsid w:val="63C030C4"/>
    <w:rsid w:val="644A236B"/>
    <w:rsid w:val="679740F8"/>
    <w:rsid w:val="67B062B6"/>
    <w:rsid w:val="67B247F7"/>
    <w:rsid w:val="6C480935"/>
    <w:rsid w:val="6CBE5F90"/>
    <w:rsid w:val="6DD91EA3"/>
    <w:rsid w:val="6E115DA7"/>
    <w:rsid w:val="70594F61"/>
    <w:rsid w:val="71A512FE"/>
    <w:rsid w:val="735F6C43"/>
    <w:rsid w:val="74DF00F6"/>
    <w:rsid w:val="76A677F0"/>
    <w:rsid w:val="789923DD"/>
    <w:rsid w:val="7BBE7026"/>
    <w:rsid w:val="7CC3126E"/>
    <w:rsid w:val="7D327E0B"/>
    <w:rsid w:val="7D473F6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7"/>
    <w:semiHidden/>
    <w:unhideWhenUsed/>
    <w:qFormat/>
    <w:uiPriority w:val="99"/>
    <w:rPr>
      <w:b/>
      <w:bCs/>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页眉 Char"/>
    <w:basedOn w:val="17"/>
    <w:link w:val="13"/>
    <w:qFormat/>
    <w:uiPriority w:val="99"/>
    <w:rPr>
      <w:rFonts w:ascii="Tahoma" w:hAnsi="Tahoma"/>
      <w:sz w:val="18"/>
      <w:szCs w:val="18"/>
    </w:rPr>
  </w:style>
  <w:style w:type="character" w:customStyle="1" w:styleId="24">
    <w:name w:val="页脚 Char"/>
    <w:basedOn w:val="17"/>
    <w:link w:val="12"/>
    <w:qFormat/>
    <w:uiPriority w:val="99"/>
    <w:rPr>
      <w:rFonts w:ascii="Tahoma" w:hAnsi="Tahoma"/>
      <w:sz w:val="18"/>
      <w:szCs w:val="18"/>
    </w:rPr>
  </w:style>
  <w:style w:type="character" w:customStyle="1" w:styleId="25">
    <w:name w:val="标题 1 Char"/>
    <w:basedOn w:val="17"/>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7"/>
    <w:link w:val="4"/>
    <w:qFormat/>
    <w:uiPriority w:val="0"/>
    <w:rPr>
      <w:rFonts w:ascii="Times New Roman" w:hAnsi="Times New Roman" w:eastAsia="宋体" w:cs="Times New Roman"/>
      <w:b/>
      <w:bCs/>
      <w:kern w:val="2"/>
      <w:sz w:val="32"/>
      <w:szCs w:val="32"/>
    </w:rPr>
  </w:style>
  <w:style w:type="character" w:customStyle="1" w:styleId="29">
    <w:name w:val="标题 4 Char"/>
    <w:basedOn w:val="17"/>
    <w:link w:val="6"/>
    <w:qFormat/>
    <w:uiPriority w:val="9"/>
    <w:rPr>
      <w:rFonts w:ascii="Arial" w:hAnsi="Arial" w:eastAsia="黑体" w:cs="Arial"/>
      <w:b/>
      <w:bCs/>
      <w:kern w:val="2"/>
      <w:sz w:val="28"/>
      <w:szCs w:val="28"/>
    </w:rPr>
  </w:style>
  <w:style w:type="character" w:customStyle="1" w:styleId="30">
    <w:name w:val="标题 Char1"/>
    <w:basedOn w:val="17"/>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7"/>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7"/>
    <w:semiHidden/>
    <w:qFormat/>
    <w:uiPriority w:val="99"/>
    <w:rPr>
      <w:rFonts w:ascii="宋体" w:hAnsi="Courier New" w:eastAsia="宋体" w:cs="Courier New"/>
      <w:sz w:val="21"/>
      <w:szCs w:val="21"/>
    </w:rPr>
  </w:style>
  <w:style w:type="character" w:customStyle="1" w:styleId="39">
    <w:name w:val="标题 2 Char"/>
    <w:basedOn w:val="17"/>
    <w:link w:val="3"/>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7"/>
    <w:semiHidden/>
    <w:qFormat/>
    <w:uiPriority w:val="99"/>
    <w:rPr>
      <w:rFonts w:ascii="Tahoma" w:hAnsi="Tahoma"/>
    </w:rPr>
  </w:style>
  <w:style w:type="character" w:customStyle="1" w:styleId="45">
    <w:name w:val="批注框文本 Char"/>
    <w:basedOn w:val="17"/>
    <w:link w:val="11"/>
    <w:semiHidden/>
    <w:qFormat/>
    <w:uiPriority w:val="99"/>
    <w:rPr>
      <w:rFonts w:ascii="Tahoma" w:hAnsi="Tahoma"/>
      <w:sz w:val="18"/>
      <w:szCs w:val="18"/>
    </w:rPr>
  </w:style>
  <w:style w:type="character" w:customStyle="1" w:styleId="46">
    <w:name w:val="批注文字 Char"/>
    <w:basedOn w:val="17"/>
    <w:link w:val="8"/>
    <w:semiHidden/>
    <w:qFormat/>
    <w:uiPriority w:val="99"/>
    <w:rPr>
      <w:rFonts w:ascii="Tahoma" w:hAnsi="Tahoma"/>
    </w:rPr>
  </w:style>
  <w:style w:type="character" w:customStyle="1" w:styleId="47">
    <w:name w:val="批注主题 Char"/>
    <w:basedOn w:val="46"/>
    <w:link w:val="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58B3CC-4B85-46CB-B998-C3F7BC67942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2464</Words>
  <Characters>14046</Characters>
  <Lines>117</Lines>
  <Paragraphs>32</Paragraphs>
  <TotalTime>0</TotalTime>
  <ScaleCrop>false</ScaleCrop>
  <LinksUpToDate>false</LinksUpToDate>
  <CharactersWithSpaces>16478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2018-12-24T03:44:00Z</dcterms:created>
  <dc:creator>chenle</dc:creator>
  <cp:lastModifiedBy>lenovo</cp:lastModifiedBy>
  <dcterms:modified xsi:type="dcterms:W3CDTF">2018-12-25T03:39:29Z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