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大容量高性能存储集群</w:t>
      </w:r>
      <w:r>
        <w:rPr>
          <w:rFonts w:hint="eastAsia" w:asciiTheme="minorEastAsia" w:hAnsiTheme="minorEastAsia" w:eastAsiaTheme="minorEastAsia"/>
          <w:b/>
          <w:bCs/>
          <w:sz w:val="32"/>
          <w:szCs w:val="32"/>
        </w:rPr>
        <w:t>项目</w:t>
      </w:r>
    </w:p>
    <w:p>
      <w:pPr>
        <w:pStyle w:val="26"/>
        <w:ind w:firstLine="0"/>
        <w:jc w:val="center"/>
        <w:rPr>
          <w:b/>
          <w:bCs/>
          <w:sz w:val="32"/>
        </w:rPr>
      </w:pPr>
      <w:r>
        <w:rPr>
          <w:rFonts w:hint="eastAsia"/>
          <w:b/>
          <w:bCs/>
          <w:sz w:val="32"/>
        </w:rPr>
        <w:t>项目编号：njmu-20181030a-4</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20823272"/>
      <w:bookmarkStart w:id="5" w:name="_Toc523127445"/>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u w:val="none"/>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u w:val="none"/>
        </w:rPr>
        <w:t>32</w:t>
      </w:r>
    </w:p>
    <w:p>
      <w:pPr>
        <w:spacing w:line="360" w:lineRule="auto"/>
        <w:jc w:val="center"/>
        <w:outlineLvl w:val="0"/>
        <w:rPr>
          <w:rFonts w:ascii="黑体" w:hAnsi="Arial" w:eastAsia="黑体"/>
          <w:b/>
          <w:sz w:val="44"/>
        </w:rPr>
      </w:pPr>
      <w:bookmarkStart w:id="180" w:name="_GoBack"/>
      <w:bookmarkEnd w:id="180"/>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513029242"/>
      <w:bookmarkStart w:id="9" w:name="_Toc120614211"/>
      <w:bookmarkStart w:id="10" w:name="_Toc479757207"/>
      <w:bookmarkStart w:id="11" w:name="_Toc120614221"/>
      <w:bookmarkStart w:id="12" w:name="_Toc20823314"/>
      <w:bookmarkStart w:id="13" w:name="_Toc16938558"/>
      <w:bookmarkStart w:id="14" w:name="_Toc444669970"/>
      <w:bookmarkStart w:id="15" w:name="OLE_LINK1"/>
      <w:bookmarkStart w:id="16" w:name="OLE_LINK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大容量高性能存储集群</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（一）采购项目名称：大容量高性能存储集群购置项目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（二）采购项目编号：njmu-20181030a-4</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:37万元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法人或授权代表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投标文件接收开始时间：2018年11月22日下午13:30（北京时间）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投标文件接收截止时间：2018年11月22日下午14:00前（北京时间）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开标时间：2018年11月22日下午14:00（北京时间）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w:t>
      </w:r>
      <w:r>
        <w:rPr>
          <w:rFonts w:hint="eastAsia" w:ascii="宋体" w:hAnsi="宋体" w:eastAsia="宋体" w:cs="Times New Roman"/>
          <w:sz w:val="24"/>
          <w:szCs w:val="24"/>
        </w:rPr>
        <w:t xml:space="preserve">陈老师           </w:t>
      </w:r>
      <w:r>
        <w:rPr>
          <w:rFonts w:hint="eastAsia" w:asciiTheme="minorEastAsia" w:hAnsiTheme="minorEastAsia" w:eastAsiaTheme="minorEastAsia"/>
          <w:sz w:val="24"/>
          <w:szCs w:val="24"/>
        </w:rPr>
        <w:t>电话：025-86869366</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6938518"/>
      <w:bookmarkStart w:id="20" w:name="_Toc20823274"/>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513029203"/>
      <w:bookmarkStart w:id="23" w:name="_Toc16938519"/>
      <w:bookmarkStart w:id="24" w:name="_Toc20823275"/>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513029204"/>
      <w:bookmarkStart w:id="29" w:name="_Toc16938520"/>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513029212"/>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7190884"/>
      <w:bookmarkStart w:id="58" w:name="_Toc462564072"/>
      <w:bookmarkStart w:id="59" w:name="_Toc513029213"/>
      <w:bookmarkStart w:id="60" w:name="_Toc16938529"/>
      <w:bookmarkStart w:id="61" w:name="_Toc20823285"/>
      <w:bookmarkStart w:id="62" w:name="_Toc120614216"/>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一、参数需求</w:t>
      </w:r>
    </w:p>
    <w:p>
      <w:pPr>
        <w:spacing w:line="360" w:lineRule="auto"/>
        <w:ind w:firstLine="700" w:firstLineChars="25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1、功能要求</w:t>
      </w:r>
    </w:p>
    <w:p>
      <w:pPr>
        <w:spacing w:line="360" w:lineRule="auto"/>
        <w:rPr>
          <w:rFonts w:cs="宋体" w:asciiTheme="minorEastAsia" w:hAnsiTheme="minorEastAsia" w:eastAsiaTheme="minorEastAsia"/>
          <w:sz w:val="28"/>
          <w:szCs w:val="28"/>
        </w:rPr>
      </w:pPr>
      <w:r>
        <w:rPr>
          <w:rFonts w:cs="宋体" w:asciiTheme="minorEastAsia" w:hAnsiTheme="minorEastAsia" w:eastAsiaTheme="minorEastAsia"/>
          <w:sz w:val="28"/>
          <w:szCs w:val="28"/>
        </w:rPr>
        <w:t></w:t>
      </w:r>
      <w:r>
        <w:rPr>
          <w:rFonts w:hint="eastAsia" w:cs="宋体" w:asciiTheme="minorEastAsia" w:hAnsiTheme="minorEastAsia" w:eastAsiaTheme="minorEastAsia"/>
          <w:sz w:val="28"/>
          <w:szCs w:val="28"/>
        </w:rPr>
        <w:t>★</w:t>
      </w:r>
      <w:r>
        <w:rPr>
          <w:rFonts w:cs="宋体" w:asciiTheme="minorEastAsia" w:hAnsiTheme="minorEastAsia" w:eastAsiaTheme="minorEastAsia"/>
          <w:sz w:val="28"/>
          <w:szCs w:val="28"/>
        </w:rPr>
        <w:t>1.1</w:t>
      </w:r>
      <w:r>
        <w:rPr>
          <w:rFonts w:hint="eastAsia" w:cs="宋体" w:asciiTheme="minorEastAsia" w:hAnsiTheme="minorEastAsia" w:eastAsiaTheme="minorEastAsia"/>
          <w:sz w:val="28"/>
          <w:szCs w:val="28"/>
        </w:rPr>
        <w:t>支持同时对外支持块，文件系统以及对象存储服务接口</w:t>
      </w:r>
    </w:p>
    <w:p>
      <w:pPr>
        <w:spacing w:line="360" w:lineRule="auto"/>
        <w:rPr>
          <w:rFonts w:cs="宋体" w:asciiTheme="minorEastAsia" w:hAnsiTheme="minorEastAsia" w:eastAsiaTheme="minorEastAsia"/>
          <w:sz w:val="28"/>
          <w:szCs w:val="28"/>
        </w:rPr>
      </w:pPr>
      <w:r>
        <w:rPr>
          <w:rFonts w:cs="宋体" w:asciiTheme="minorEastAsia" w:hAnsiTheme="minorEastAsia" w:eastAsiaTheme="minorEastAsia"/>
          <w:sz w:val="28"/>
          <w:szCs w:val="28"/>
        </w:rPr>
        <w:t>1.2</w:t>
      </w:r>
      <w:r>
        <w:rPr>
          <w:rFonts w:hint="eastAsia" w:cs="宋体" w:asciiTheme="minorEastAsia" w:hAnsiTheme="minorEastAsia" w:eastAsiaTheme="minorEastAsia"/>
          <w:sz w:val="28"/>
          <w:szCs w:val="28"/>
        </w:rPr>
        <w:t>提供全中文管理界面，支持异常情况下邮件以及微信告警</w:t>
      </w:r>
    </w:p>
    <w:p>
      <w:pPr>
        <w:spacing w:line="360" w:lineRule="auto"/>
        <w:rPr>
          <w:rFonts w:cs="宋体" w:asciiTheme="minorEastAsia" w:hAnsiTheme="minorEastAsia" w:eastAsiaTheme="minorEastAsia"/>
          <w:sz w:val="28"/>
          <w:szCs w:val="28"/>
        </w:rPr>
      </w:pPr>
      <w:r>
        <w:rPr>
          <w:rFonts w:cs="宋体" w:asciiTheme="minorEastAsia" w:hAnsiTheme="minorEastAsia" w:eastAsiaTheme="minorEastAsia"/>
          <w:sz w:val="28"/>
          <w:szCs w:val="28"/>
        </w:rPr>
        <w:t></w:t>
      </w:r>
      <w:r>
        <w:rPr>
          <w:rFonts w:hint="eastAsia" w:cs="宋体" w:asciiTheme="minorEastAsia" w:hAnsiTheme="minorEastAsia" w:eastAsiaTheme="minorEastAsia"/>
          <w:sz w:val="28"/>
          <w:szCs w:val="28"/>
        </w:rPr>
        <w:t>★</w:t>
      </w:r>
      <w:r>
        <w:rPr>
          <w:rFonts w:cs="宋体" w:asciiTheme="minorEastAsia" w:hAnsiTheme="minorEastAsia" w:eastAsiaTheme="minorEastAsia"/>
          <w:sz w:val="28"/>
          <w:szCs w:val="28"/>
        </w:rPr>
        <w:t>1.3</w:t>
      </w:r>
      <w:r>
        <w:rPr>
          <w:rFonts w:hint="eastAsia" w:cs="宋体" w:asciiTheme="minorEastAsia" w:hAnsiTheme="minorEastAsia" w:eastAsiaTheme="minorEastAsia"/>
          <w:sz w:val="28"/>
          <w:szCs w:val="28"/>
        </w:rPr>
        <w:t>数据可以在</w:t>
      </w:r>
      <w:r>
        <w:rPr>
          <w:rFonts w:cs="宋体" w:asciiTheme="minorEastAsia" w:hAnsiTheme="minorEastAsia" w:eastAsiaTheme="minorEastAsia"/>
          <w:sz w:val="28"/>
          <w:szCs w:val="28"/>
        </w:rPr>
        <w:t>NAS</w:t>
      </w:r>
      <w:r>
        <w:rPr>
          <w:rFonts w:hint="eastAsia" w:cs="宋体" w:asciiTheme="minorEastAsia" w:hAnsiTheme="minorEastAsia" w:eastAsiaTheme="minorEastAsia"/>
          <w:sz w:val="28"/>
          <w:szCs w:val="28"/>
        </w:rPr>
        <w:t>存储和对象存储资源池间相互传输，便于数据的归档和按需调阅</w:t>
      </w:r>
    </w:p>
    <w:p>
      <w:pPr>
        <w:spacing w:line="360" w:lineRule="auto"/>
        <w:rPr>
          <w:rFonts w:cs="宋体" w:asciiTheme="minorEastAsia" w:hAnsiTheme="minorEastAsia" w:eastAsiaTheme="minorEastAsia"/>
          <w:sz w:val="28"/>
          <w:szCs w:val="28"/>
        </w:rPr>
      </w:pPr>
      <w:r>
        <w:rPr>
          <w:rFonts w:cs="宋体" w:asciiTheme="minorEastAsia" w:hAnsiTheme="minorEastAsia" w:eastAsiaTheme="minorEastAsia"/>
          <w:sz w:val="28"/>
          <w:szCs w:val="28"/>
        </w:rPr>
        <w:t>1.4</w:t>
      </w:r>
      <w:r>
        <w:rPr>
          <w:rFonts w:hint="eastAsia" w:cs="宋体" w:asciiTheme="minorEastAsia" w:hAnsiTheme="minorEastAsia" w:eastAsiaTheme="minorEastAsia"/>
          <w:sz w:val="28"/>
          <w:szCs w:val="28"/>
        </w:rPr>
        <w:t>提供单一命名空间，所有</w:t>
      </w:r>
      <w:r>
        <w:rPr>
          <w:rFonts w:cs="宋体" w:asciiTheme="minorEastAsia" w:hAnsiTheme="minorEastAsia" w:eastAsiaTheme="minorEastAsia"/>
          <w:sz w:val="28"/>
          <w:szCs w:val="28"/>
        </w:rPr>
        <w:t>NAS</w:t>
      </w:r>
      <w:r>
        <w:rPr>
          <w:rFonts w:hint="eastAsia" w:cs="宋体" w:asciiTheme="minorEastAsia" w:hAnsiTheme="minorEastAsia" w:eastAsiaTheme="minorEastAsia"/>
          <w:sz w:val="28"/>
          <w:szCs w:val="28"/>
        </w:rPr>
        <w:t>数据均放在同一命名空间中</w:t>
      </w:r>
    </w:p>
    <w:p>
      <w:pPr>
        <w:spacing w:line="360" w:lineRule="auto"/>
        <w:rPr>
          <w:rFonts w:cs="宋体" w:asciiTheme="minorEastAsia" w:hAnsiTheme="minorEastAsia" w:eastAsiaTheme="minorEastAsia"/>
          <w:sz w:val="28"/>
          <w:szCs w:val="28"/>
        </w:rPr>
      </w:pPr>
      <w:r>
        <w:rPr>
          <w:rFonts w:cs="宋体" w:asciiTheme="minorEastAsia" w:hAnsiTheme="minorEastAsia" w:eastAsiaTheme="minorEastAsia"/>
          <w:sz w:val="28"/>
          <w:szCs w:val="28"/>
        </w:rPr>
        <w:t>1.5</w:t>
      </w:r>
      <w:r>
        <w:rPr>
          <w:rFonts w:hint="eastAsia" w:cs="宋体" w:asciiTheme="minorEastAsia" w:hAnsiTheme="minorEastAsia" w:eastAsiaTheme="minorEastAsia"/>
          <w:sz w:val="28"/>
          <w:szCs w:val="28"/>
        </w:rPr>
        <w:t>支持基于目录或用户的配额管理，以确保存储空间的合理管理和使用</w:t>
      </w:r>
    </w:p>
    <w:p>
      <w:pPr>
        <w:spacing w:line="360" w:lineRule="auto"/>
        <w:rPr>
          <w:rFonts w:cs="宋体" w:asciiTheme="minorEastAsia" w:hAnsiTheme="minorEastAsia" w:eastAsiaTheme="minorEastAsia"/>
          <w:sz w:val="28"/>
          <w:szCs w:val="28"/>
        </w:rPr>
      </w:pPr>
      <w:r>
        <w:rPr>
          <w:rFonts w:cs="宋体" w:asciiTheme="minorEastAsia" w:hAnsiTheme="minorEastAsia" w:eastAsiaTheme="minorEastAsia"/>
          <w:sz w:val="28"/>
          <w:szCs w:val="28"/>
        </w:rPr>
        <w:t>1.6</w:t>
      </w:r>
      <w:r>
        <w:rPr>
          <w:rFonts w:hint="eastAsia" w:cs="宋体" w:asciiTheme="minorEastAsia" w:hAnsiTheme="minorEastAsia" w:eastAsiaTheme="minorEastAsia"/>
          <w:sz w:val="28"/>
          <w:szCs w:val="28"/>
        </w:rPr>
        <w:t>基于文件夹的</w:t>
      </w:r>
      <w:r>
        <w:rPr>
          <w:rFonts w:cs="宋体" w:asciiTheme="minorEastAsia" w:hAnsiTheme="minorEastAsia" w:eastAsiaTheme="minorEastAsia"/>
          <w:sz w:val="28"/>
          <w:szCs w:val="28"/>
        </w:rPr>
        <w:t>QoS</w:t>
      </w:r>
      <w:r>
        <w:rPr>
          <w:rFonts w:hint="eastAsia" w:cs="宋体" w:asciiTheme="minorEastAsia" w:hAnsiTheme="minorEastAsia" w:eastAsiaTheme="minorEastAsia"/>
          <w:sz w:val="28"/>
          <w:szCs w:val="28"/>
        </w:rPr>
        <w:t>管理功能，可约束指定文件夹的读写带宽及</w:t>
      </w:r>
      <w:r>
        <w:rPr>
          <w:rFonts w:cs="宋体" w:asciiTheme="minorEastAsia" w:hAnsiTheme="minorEastAsia" w:eastAsiaTheme="minorEastAsia"/>
          <w:sz w:val="28"/>
          <w:szCs w:val="28"/>
        </w:rPr>
        <w:t>IOPS</w:t>
      </w:r>
      <w:r>
        <w:rPr>
          <w:rFonts w:hint="eastAsia" w:cs="宋体" w:asciiTheme="minorEastAsia" w:hAnsiTheme="minorEastAsia" w:eastAsiaTheme="minorEastAsia"/>
          <w:sz w:val="28"/>
          <w:szCs w:val="28"/>
        </w:rPr>
        <w:t>，确保存储资源的合理使用</w:t>
      </w:r>
    </w:p>
    <w:p>
      <w:pPr>
        <w:spacing w:line="360" w:lineRule="auto"/>
        <w:rPr>
          <w:rFonts w:cs="宋体" w:asciiTheme="minorEastAsia" w:hAnsiTheme="minorEastAsia" w:eastAsiaTheme="minorEastAsia"/>
          <w:sz w:val="28"/>
          <w:szCs w:val="28"/>
        </w:rPr>
      </w:pPr>
      <w:r>
        <w:rPr>
          <w:rFonts w:cs="宋体" w:asciiTheme="minorEastAsia" w:hAnsiTheme="minorEastAsia" w:eastAsiaTheme="minorEastAsia"/>
          <w:sz w:val="28"/>
          <w:szCs w:val="28"/>
        </w:rPr>
        <w:t>1.7</w:t>
      </w:r>
      <w:r>
        <w:rPr>
          <w:rFonts w:hint="eastAsia" w:cs="宋体" w:asciiTheme="minorEastAsia" w:hAnsiTheme="minorEastAsia" w:eastAsiaTheme="minorEastAsia"/>
          <w:sz w:val="28"/>
          <w:szCs w:val="28"/>
        </w:rPr>
        <w:t>存储系统支持管理节点直接使用</w:t>
      </w:r>
      <w:r>
        <w:rPr>
          <w:rFonts w:cs="宋体" w:asciiTheme="minorEastAsia" w:hAnsiTheme="minorEastAsia" w:eastAsiaTheme="minorEastAsia"/>
          <w:sz w:val="28"/>
          <w:szCs w:val="28"/>
        </w:rPr>
        <w:t xml:space="preserve">Linux </w:t>
      </w:r>
      <w:r>
        <w:rPr>
          <w:rFonts w:hint="eastAsia" w:cs="宋体" w:asciiTheme="minorEastAsia" w:hAnsiTheme="minorEastAsia" w:eastAsiaTheme="minorEastAsia"/>
          <w:sz w:val="28"/>
          <w:szCs w:val="28"/>
        </w:rPr>
        <w:t>命令完成存储集群内部的数据直迁</w:t>
      </w:r>
    </w:p>
    <w:p>
      <w:pPr>
        <w:spacing w:line="360" w:lineRule="auto"/>
        <w:rPr>
          <w:rFonts w:cs="宋体" w:asciiTheme="minorEastAsia" w:hAnsiTheme="minorEastAsia" w:eastAsiaTheme="minorEastAsia"/>
          <w:sz w:val="28"/>
          <w:szCs w:val="28"/>
        </w:rPr>
      </w:pPr>
      <w:r>
        <w:rPr>
          <w:rFonts w:cs="宋体" w:asciiTheme="minorEastAsia" w:hAnsiTheme="minorEastAsia" w:eastAsiaTheme="minorEastAsia"/>
          <w:sz w:val="28"/>
          <w:szCs w:val="28"/>
        </w:rPr>
        <w:t>1.8</w:t>
      </w:r>
      <w:r>
        <w:rPr>
          <w:rFonts w:hint="eastAsia" w:cs="宋体" w:asciiTheme="minorEastAsia" w:hAnsiTheme="minorEastAsia" w:eastAsiaTheme="minorEastAsia"/>
          <w:sz w:val="28"/>
          <w:szCs w:val="28"/>
        </w:rPr>
        <w:t>存储系统支持基因分析平台的管理节点和计算节点间的分析环境及分析工具包的快速部署跟协调</w:t>
      </w:r>
    </w:p>
    <w:p>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2、技术参数</w:t>
      </w:r>
    </w:p>
    <w:p>
      <w:pPr>
        <w:spacing w:line="360" w:lineRule="auto"/>
        <w:rPr>
          <w:rFonts w:cs="宋体" w:asciiTheme="minorEastAsia" w:hAnsiTheme="minorEastAsia" w:eastAsiaTheme="minorEastAsia"/>
          <w:sz w:val="28"/>
          <w:szCs w:val="28"/>
        </w:rPr>
      </w:pPr>
      <w:r>
        <w:rPr>
          <w:rFonts w:cs="宋体" w:asciiTheme="minorEastAsia" w:hAnsiTheme="minorEastAsia" w:eastAsiaTheme="minorEastAsia"/>
          <w:sz w:val="28"/>
          <w:szCs w:val="28"/>
        </w:rPr>
        <w:t></w:t>
      </w:r>
      <w:r>
        <w:rPr>
          <w:rFonts w:cs="宋体" w:asciiTheme="minorEastAsia" w:hAnsiTheme="minorEastAsia" w:eastAsiaTheme="minorEastAsia"/>
          <w:sz w:val="28"/>
          <w:szCs w:val="28"/>
        </w:rPr>
        <w:tab/>
      </w:r>
      <w:r>
        <w:rPr>
          <w:rFonts w:hint="eastAsia" w:cs="宋体" w:asciiTheme="minorEastAsia" w:hAnsiTheme="minorEastAsia" w:eastAsiaTheme="minorEastAsia"/>
          <w:sz w:val="28"/>
          <w:szCs w:val="28"/>
        </w:rPr>
        <w:t>2</w:t>
      </w:r>
      <w:r>
        <w:rPr>
          <w:rFonts w:cs="宋体" w:asciiTheme="minorEastAsia" w:hAnsiTheme="minorEastAsia" w:eastAsiaTheme="minorEastAsia"/>
          <w:sz w:val="28"/>
          <w:szCs w:val="28"/>
        </w:rPr>
        <w:t>.1</w:t>
      </w:r>
      <w:r>
        <w:rPr>
          <w:rFonts w:hint="eastAsia" w:cs="宋体" w:asciiTheme="minorEastAsia" w:hAnsiTheme="minorEastAsia" w:eastAsiaTheme="minorEastAsia"/>
          <w:sz w:val="28"/>
          <w:szCs w:val="28"/>
        </w:rPr>
        <w:t>提供</w:t>
      </w:r>
      <w:r>
        <w:rPr>
          <w:rFonts w:cs="宋体" w:asciiTheme="minorEastAsia" w:hAnsiTheme="minorEastAsia" w:eastAsiaTheme="minorEastAsia"/>
          <w:sz w:val="28"/>
          <w:szCs w:val="28"/>
        </w:rPr>
        <w:t>16</w:t>
      </w:r>
      <w:r>
        <w:rPr>
          <w:rFonts w:hint="eastAsia" w:cs="宋体" w:asciiTheme="minorEastAsia" w:hAnsiTheme="minorEastAsia" w:eastAsiaTheme="minorEastAsia"/>
          <w:sz w:val="28"/>
          <w:szCs w:val="28"/>
        </w:rPr>
        <w:t>颗总容量不低于</w:t>
      </w:r>
      <w:r>
        <w:rPr>
          <w:rFonts w:cs="宋体" w:asciiTheme="minorEastAsia" w:hAnsiTheme="minorEastAsia" w:eastAsiaTheme="minorEastAsia"/>
          <w:sz w:val="28"/>
          <w:szCs w:val="28"/>
        </w:rPr>
        <w:t>7.5TB</w:t>
      </w:r>
      <w:r>
        <w:rPr>
          <w:rFonts w:hint="eastAsia" w:cs="宋体" w:asciiTheme="minorEastAsia" w:hAnsiTheme="minorEastAsia" w:eastAsiaTheme="minorEastAsia"/>
          <w:sz w:val="28"/>
          <w:szCs w:val="28"/>
        </w:rPr>
        <w:t>，</w:t>
      </w:r>
      <w:r>
        <w:rPr>
          <w:rFonts w:cs="宋体" w:asciiTheme="minorEastAsia" w:hAnsiTheme="minorEastAsia" w:eastAsiaTheme="minorEastAsia"/>
          <w:sz w:val="28"/>
          <w:szCs w:val="28"/>
        </w:rPr>
        <w:t>DWDP</w:t>
      </w:r>
      <w:r>
        <w:rPr>
          <w:rFonts w:hint="eastAsia" w:cs="宋体" w:asciiTheme="minorEastAsia" w:hAnsiTheme="minorEastAsia" w:eastAsiaTheme="minorEastAsia"/>
          <w:sz w:val="28"/>
          <w:szCs w:val="28"/>
        </w:rPr>
        <w:t>不低于</w:t>
      </w:r>
      <w:r>
        <w:rPr>
          <w:rFonts w:cs="宋体" w:asciiTheme="minorEastAsia" w:hAnsiTheme="minorEastAsia" w:eastAsiaTheme="minorEastAsia"/>
          <w:sz w:val="28"/>
          <w:szCs w:val="28"/>
        </w:rPr>
        <w:t>3</w:t>
      </w:r>
      <w:r>
        <w:rPr>
          <w:rFonts w:hint="eastAsia" w:cs="宋体" w:asciiTheme="minorEastAsia" w:hAnsiTheme="minorEastAsia" w:eastAsiaTheme="minorEastAsia"/>
          <w:sz w:val="28"/>
          <w:szCs w:val="28"/>
        </w:rPr>
        <w:t>年的企业级</w:t>
      </w:r>
      <w:r>
        <w:rPr>
          <w:rFonts w:cs="宋体" w:asciiTheme="minorEastAsia" w:hAnsiTheme="minorEastAsia" w:eastAsiaTheme="minorEastAsia"/>
          <w:sz w:val="28"/>
          <w:szCs w:val="28"/>
        </w:rPr>
        <w:t>SSD</w:t>
      </w:r>
      <w:r>
        <w:rPr>
          <w:rFonts w:hint="eastAsia" w:cs="宋体" w:asciiTheme="minorEastAsia" w:hAnsiTheme="minorEastAsia" w:eastAsiaTheme="minorEastAsia"/>
          <w:sz w:val="28"/>
          <w:szCs w:val="28"/>
        </w:rPr>
        <w:t>，以加速集群的读写性能</w:t>
      </w:r>
    </w:p>
    <w:p>
      <w:pPr>
        <w:spacing w:line="360" w:lineRule="auto"/>
        <w:rPr>
          <w:rFonts w:cs="宋体" w:asciiTheme="minorEastAsia" w:hAnsiTheme="minorEastAsia" w:eastAsiaTheme="minorEastAsia"/>
          <w:sz w:val="28"/>
          <w:szCs w:val="28"/>
        </w:rPr>
      </w:pPr>
      <w:r>
        <w:rPr>
          <w:rFonts w:cs="宋体" w:asciiTheme="minorEastAsia" w:hAnsiTheme="minorEastAsia" w:eastAsiaTheme="minorEastAsia"/>
          <w:sz w:val="28"/>
          <w:szCs w:val="28"/>
        </w:rPr>
        <w:t></w:t>
      </w:r>
      <w:r>
        <w:rPr>
          <w:rFonts w:hint="eastAsia" w:cs="宋体" w:asciiTheme="minorEastAsia" w:hAnsiTheme="minorEastAsia" w:eastAsiaTheme="minorEastAsia"/>
          <w:sz w:val="28"/>
          <w:szCs w:val="28"/>
        </w:rPr>
        <w:t xml:space="preserve">    2</w:t>
      </w:r>
      <w:r>
        <w:rPr>
          <w:rFonts w:cs="宋体" w:asciiTheme="minorEastAsia" w:hAnsiTheme="minorEastAsia" w:eastAsiaTheme="minorEastAsia"/>
          <w:sz w:val="28"/>
          <w:szCs w:val="28"/>
        </w:rPr>
        <w:t>.2</w:t>
      </w:r>
      <w:r>
        <w:rPr>
          <w:rFonts w:hint="eastAsia" w:cs="宋体" w:asciiTheme="minorEastAsia" w:hAnsiTheme="minorEastAsia" w:eastAsiaTheme="minorEastAsia"/>
          <w:sz w:val="28"/>
          <w:szCs w:val="28"/>
        </w:rPr>
        <w:t>新增</w:t>
      </w:r>
      <w:r>
        <w:rPr>
          <w:rFonts w:cs="宋体" w:asciiTheme="minorEastAsia" w:hAnsiTheme="minorEastAsia" w:eastAsiaTheme="minorEastAsia"/>
          <w:sz w:val="28"/>
          <w:szCs w:val="28"/>
        </w:rPr>
        <w:t>160</w:t>
      </w:r>
      <w:r>
        <w:rPr>
          <w:rFonts w:hint="eastAsia" w:cs="宋体" w:asciiTheme="minorEastAsia" w:hAnsiTheme="minorEastAsia" w:eastAsiaTheme="minorEastAsia"/>
          <w:sz w:val="28"/>
          <w:szCs w:val="28"/>
        </w:rPr>
        <w:t>颗企业级</w:t>
      </w:r>
      <w:r>
        <w:rPr>
          <w:rFonts w:cs="宋体" w:asciiTheme="minorEastAsia" w:hAnsiTheme="minorEastAsia" w:eastAsiaTheme="minorEastAsia"/>
          <w:sz w:val="28"/>
          <w:szCs w:val="28"/>
        </w:rPr>
        <w:t>SATA</w:t>
      </w:r>
      <w:r>
        <w:rPr>
          <w:rFonts w:hint="eastAsia" w:cs="宋体" w:asciiTheme="minorEastAsia" w:hAnsiTheme="minorEastAsia" w:eastAsiaTheme="minorEastAsia"/>
          <w:sz w:val="28"/>
          <w:szCs w:val="28"/>
        </w:rPr>
        <w:t>接口</w:t>
      </w:r>
      <w:r>
        <w:rPr>
          <w:rFonts w:cs="宋体" w:asciiTheme="minorEastAsia" w:hAnsiTheme="minorEastAsia" w:eastAsiaTheme="minorEastAsia"/>
          <w:sz w:val="28"/>
          <w:szCs w:val="28"/>
        </w:rPr>
        <w:t>6TB HDD</w:t>
      </w:r>
      <w:r>
        <w:rPr>
          <w:rFonts w:hint="eastAsia" w:cs="宋体" w:asciiTheme="minorEastAsia" w:hAnsiTheme="minorEastAsia" w:eastAsiaTheme="minorEastAsia"/>
          <w:sz w:val="28"/>
          <w:szCs w:val="28"/>
        </w:rPr>
        <w:t>，提供数据存储空间。并针对既有的</w:t>
      </w:r>
      <w:r>
        <w:rPr>
          <w:rFonts w:cs="宋体" w:asciiTheme="minorEastAsia" w:hAnsiTheme="minorEastAsia" w:eastAsiaTheme="minorEastAsia"/>
          <w:sz w:val="28"/>
          <w:szCs w:val="28"/>
        </w:rPr>
        <w:t>working space</w:t>
      </w:r>
      <w:r>
        <w:rPr>
          <w:rFonts w:hint="eastAsia" w:cs="宋体" w:asciiTheme="minorEastAsia" w:hAnsiTheme="minorEastAsia" w:eastAsiaTheme="minorEastAsia"/>
          <w:sz w:val="28"/>
          <w:szCs w:val="28"/>
        </w:rPr>
        <w:t>集群进行平滑扩容，扩容期间不影响既有存储的数据以及不影响计算集群业务的使用</w:t>
      </w:r>
    </w:p>
    <w:p>
      <w:pPr>
        <w:spacing w:line="360" w:lineRule="auto"/>
        <w:rPr>
          <w:rFonts w:cs="宋体" w:asciiTheme="minorEastAsia" w:hAnsiTheme="minorEastAsia" w:eastAsiaTheme="minorEastAsia"/>
          <w:sz w:val="28"/>
          <w:szCs w:val="28"/>
        </w:rPr>
      </w:pPr>
      <w:r>
        <w:rPr>
          <w:rFonts w:cs="宋体" w:asciiTheme="minorEastAsia" w:hAnsiTheme="minorEastAsia" w:eastAsiaTheme="minorEastAsia"/>
          <w:sz w:val="28"/>
          <w:szCs w:val="28"/>
        </w:rPr>
        <w:t></w:t>
      </w:r>
      <w:r>
        <w:rPr>
          <w:rFonts w:hint="eastAsia" w:cs="宋体" w:asciiTheme="minorEastAsia" w:hAnsiTheme="minorEastAsia" w:eastAsiaTheme="minorEastAsia"/>
          <w:sz w:val="28"/>
          <w:szCs w:val="28"/>
        </w:rPr>
        <w:t>★2</w:t>
      </w:r>
      <w:r>
        <w:rPr>
          <w:rFonts w:cs="宋体" w:asciiTheme="minorEastAsia" w:hAnsiTheme="minorEastAsia" w:eastAsiaTheme="minorEastAsia"/>
          <w:sz w:val="28"/>
          <w:szCs w:val="28"/>
        </w:rPr>
        <w:t>.3</w:t>
      </w:r>
      <w:r>
        <w:rPr>
          <w:rFonts w:hint="eastAsia" w:cs="宋体" w:asciiTheme="minorEastAsia" w:hAnsiTheme="minorEastAsia" w:eastAsiaTheme="minorEastAsia"/>
          <w:sz w:val="28"/>
          <w:szCs w:val="28"/>
        </w:rPr>
        <w:t>完成集群冗余性配置后，磁盘容量利用率不低于</w:t>
      </w:r>
      <w:r>
        <w:rPr>
          <w:rFonts w:cs="宋体" w:asciiTheme="minorEastAsia" w:hAnsiTheme="minorEastAsia" w:eastAsiaTheme="minorEastAsia"/>
          <w:sz w:val="28"/>
          <w:szCs w:val="28"/>
        </w:rPr>
        <w:t>60%</w:t>
      </w:r>
    </w:p>
    <w:p>
      <w:pPr>
        <w:spacing w:line="360" w:lineRule="auto"/>
        <w:rPr>
          <w:rFonts w:cs="宋体" w:asciiTheme="minorEastAsia" w:hAnsiTheme="minorEastAsia" w:eastAsiaTheme="minorEastAsia"/>
          <w:sz w:val="28"/>
          <w:szCs w:val="28"/>
        </w:rPr>
      </w:pPr>
      <w:r>
        <w:rPr>
          <w:rFonts w:cs="宋体" w:asciiTheme="minorEastAsia" w:hAnsiTheme="minorEastAsia" w:eastAsiaTheme="minorEastAsia"/>
          <w:sz w:val="28"/>
          <w:szCs w:val="28"/>
        </w:rPr>
        <w:t></w:t>
      </w:r>
      <w:r>
        <w:rPr>
          <w:rFonts w:cs="宋体" w:asciiTheme="minorEastAsia" w:hAnsiTheme="minorEastAsia" w:eastAsiaTheme="minorEastAsia"/>
          <w:sz w:val="28"/>
          <w:szCs w:val="28"/>
        </w:rPr>
        <w:tab/>
      </w:r>
      <w:r>
        <w:rPr>
          <w:rFonts w:hint="eastAsia" w:cs="宋体" w:asciiTheme="minorEastAsia" w:hAnsiTheme="minorEastAsia" w:eastAsiaTheme="minorEastAsia"/>
          <w:sz w:val="28"/>
          <w:szCs w:val="28"/>
        </w:rPr>
        <w:t xml:space="preserve"> 2</w:t>
      </w:r>
      <w:r>
        <w:rPr>
          <w:rFonts w:cs="宋体" w:asciiTheme="minorEastAsia" w:hAnsiTheme="minorEastAsia" w:eastAsiaTheme="minorEastAsia"/>
          <w:sz w:val="28"/>
          <w:szCs w:val="28"/>
        </w:rPr>
        <w:t>.4</w:t>
      </w:r>
      <w:r>
        <w:rPr>
          <w:rFonts w:hint="eastAsia" w:cs="宋体" w:asciiTheme="minorEastAsia" w:hAnsiTheme="minorEastAsia" w:eastAsiaTheme="minorEastAsia"/>
          <w:sz w:val="28"/>
          <w:szCs w:val="28"/>
        </w:rPr>
        <w:t>支持集群横向扩展，集群总容量不低于</w:t>
      </w:r>
      <w:r>
        <w:rPr>
          <w:rFonts w:cs="宋体" w:asciiTheme="minorEastAsia" w:hAnsiTheme="minorEastAsia" w:eastAsiaTheme="minorEastAsia"/>
          <w:sz w:val="28"/>
          <w:szCs w:val="28"/>
        </w:rPr>
        <w:t>100PB</w:t>
      </w:r>
      <w:r>
        <w:rPr>
          <w:rFonts w:hint="eastAsia" w:cs="宋体" w:asciiTheme="minorEastAsia" w:hAnsiTheme="minorEastAsia" w:eastAsiaTheme="minorEastAsia"/>
          <w:sz w:val="28"/>
          <w:szCs w:val="28"/>
        </w:rPr>
        <w:t>，集群节点数不低于</w:t>
      </w:r>
      <w:r>
        <w:rPr>
          <w:rFonts w:cs="宋体" w:asciiTheme="minorEastAsia" w:hAnsiTheme="minorEastAsia" w:eastAsiaTheme="minorEastAsia"/>
          <w:sz w:val="28"/>
          <w:szCs w:val="28"/>
        </w:rPr>
        <w:t>1024</w:t>
      </w:r>
      <w:r>
        <w:rPr>
          <w:rFonts w:hint="eastAsia" w:cs="宋体" w:asciiTheme="minorEastAsia" w:hAnsiTheme="minorEastAsia" w:eastAsiaTheme="minorEastAsia"/>
          <w:sz w:val="28"/>
          <w:szCs w:val="28"/>
        </w:rPr>
        <w:t>台</w:t>
      </w:r>
    </w:p>
    <w:p>
      <w:pPr>
        <w:spacing w:line="360" w:lineRule="auto"/>
        <w:rPr>
          <w:rFonts w:cs="宋体" w:asciiTheme="minorEastAsia" w:hAnsiTheme="minorEastAsia" w:eastAsiaTheme="minorEastAsia"/>
          <w:sz w:val="28"/>
          <w:szCs w:val="28"/>
        </w:rPr>
      </w:pPr>
      <w:r>
        <w:rPr>
          <w:rFonts w:cs="宋体" w:asciiTheme="minorEastAsia" w:hAnsiTheme="minorEastAsia" w:eastAsiaTheme="minorEastAsia"/>
          <w:sz w:val="28"/>
          <w:szCs w:val="28"/>
        </w:rPr>
        <w:t></w:t>
      </w:r>
      <w:r>
        <w:rPr>
          <w:rFonts w:hint="eastAsia" w:cs="宋体" w:asciiTheme="minorEastAsia" w:hAnsiTheme="minorEastAsia" w:eastAsiaTheme="minorEastAsia"/>
          <w:sz w:val="28"/>
          <w:szCs w:val="28"/>
        </w:rPr>
        <w:t>★2</w:t>
      </w:r>
      <w:r>
        <w:rPr>
          <w:rFonts w:cs="宋体" w:asciiTheme="minorEastAsia" w:hAnsiTheme="minorEastAsia" w:eastAsiaTheme="minorEastAsia"/>
          <w:sz w:val="28"/>
          <w:szCs w:val="28"/>
        </w:rPr>
        <w:t>.5</w:t>
      </w:r>
      <w:r>
        <w:rPr>
          <w:rFonts w:hint="eastAsia" w:cs="宋体" w:asciiTheme="minorEastAsia" w:hAnsiTheme="minorEastAsia" w:eastAsiaTheme="minorEastAsia"/>
          <w:sz w:val="28"/>
          <w:szCs w:val="28"/>
        </w:rPr>
        <w:t>安全性要求满足集群中任意两台节点中同时损坏任意两块磁盘，数据不丢失，读写业务不中断</w:t>
      </w:r>
    </w:p>
    <w:p>
      <w:pPr>
        <w:spacing w:line="360" w:lineRule="auto"/>
        <w:rPr>
          <w:rFonts w:cs="宋体" w:asciiTheme="minorEastAsia" w:hAnsiTheme="minorEastAsia" w:eastAsiaTheme="minorEastAsia"/>
          <w:sz w:val="28"/>
          <w:szCs w:val="28"/>
        </w:rPr>
      </w:pPr>
      <w:r>
        <w:rPr>
          <w:rFonts w:cs="宋体" w:asciiTheme="minorEastAsia" w:hAnsiTheme="minorEastAsia" w:eastAsiaTheme="minorEastAsia"/>
          <w:sz w:val="28"/>
          <w:szCs w:val="28"/>
        </w:rPr>
        <w:t></w:t>
      </w:r>
      <w:r>
        <w:rPr>
          <w:rFonts w:cs="宋体" w:asciiTheme="minorEastAsia" w:hAnsiTheme="minorEastAsia" w:eastAsiaTheme="minorEastAsia"/>
          <w:sz w:val="28"/>
          <w:szCs w:val="28"/>
        </w:rPr>
        <w:tab/>
      </w:r>
      <w:r>
        <w:rPr>
          <w:rFonts w:hint="eastAsia" w:cs="宋体" w:asciiTheme="minorEastAsia" w:hAnsiTheme="minorEastAsia" w:eastAsiaTheme="minorEastAsia"/>
          <w:sz w:val="28"/>
          <w:szCs w:val="28"/>
        </w:rPr>
        <w:t xml:space="preserve"> 2</w:t>
      </w:r>
      <w:r>
        <w:rPr>
          <w:rFonts w:cs="宋体" w:asciiTheme="minorEastAsia" w:hAnsiTheme="minorEastAsia" w:eastAsiaTheme="minorEastAsia"/>
          <w:sz w:val="28"/>
          <w:szCs w:val="28"/>
        </w:rPr>
        <w:t>.6</w:t>
      </w:r>
      <w:r>
        <w:rPr>
          <w:rFonts w:hint="eastAsia" w:cs="宋体" w:asciiTheme="minorEastAsia" w:hAnsiTheme="minorEastAsia" w:eastAsiaTheme="minorEastAsia"/>
          <w:sz w:val="28"/>
          <w:szCs w:val="28"/>
        </w:rPr>
        <w:t>最终构建的</w:t>
      </w:r>
      <w:r>
        <w:rPr>
          <w:rFonts w:cs="宋体" w:asciiTheme="minorEastAsia" w:hAnsiTheme="minorEastAsia" w:eastAsiaTheme="minorEastAsia"/>
          <w:sz w:val="28"/>
          <w:szCs w:val="28"/>
        </w:rPr>
        <w:t>8</w:t>
      </w:r>
      <w:r>
        <w:rPr>
          <w:rFonts w:hint="eastAsia" w:cs="宋体" w:asciiTheme="minorEastAsia" w:hAnsiTheme="minorEastAsia" w:eastAsiaTheme="minorEastAsia"/>
          <w:sz w:val="28"/>
          <w:szCs w:val="28"/>
        </w:rPr>
        <w:t>节点集群，汇聚读带宽不低于</w:t>
      </w:r>
      <w:r>
        <w:rPr>
          <w:rFonts w:cs="宋体" w:asciiTheme="minorEastAsia" w:hAnsiTheme="minorEastAsia" w:eastAsiaTheme="minorEastAsia"/>
          <w:sz w:val="28"/>
          <w:szCs w:val="28"/>
        </w:rPr>
        <w:t>7.5GB/s</w:t>
      </w:r>
      <w:r>
        <w:rPr>
          <w:rFonts w:hint="eastAsia" w:cs="宋体" w:asciiTheme="minorEastAsia" w:hAnsiTheme="minorEastAsia" w:eastAsiaTheme="minorEastAsia"/>
          <w:sz w:val="28"/>
          <w:szCs w:val="28"/>
        </w:rPr>
        <w:t>，汇聚写带宽不低于</w:t>
      </w:r>
      <w:r>
        <w:rPr>
          <w:rFonts w:cs="宋体" w:asciiTheme="minorEastAsia" w:hAnsiTheme="minorEastAsia" w:eastAsiaTheme="minorEastAsia"/>
          <w:sz w:val="28"/>
          <w:szCs w:val="28"/>
        </w:rPr>
        <w:t>7.5GB/s</w:t>
      </w:r>
    </w:p>
    <w:p>
      <w:pPr>
        <w:spacing w:line="360" w:lineRule="auto"/>
        <w:rPr>
          <w:rFonts w:cs="宋体" w:asciiTheme="minorEastAsia" w:hAnsiTheme="minorEastAsia" w:eastAsiaTheme="minorEastAsia"/>
          <w:sz w:val="28"/>
          <w:szCs w:val="28"/>
        </w:rPr>
      </w:pPr>
      <w:r>
        <w:rPr>
          <w:rFonts w:cs="宋体" w:asciiTheme="minorEastAsia" w:hAnsiTheme="minorEastAsia" w:eastAsiaTheme="minorEastAsia"/>
          <w:sz w:val="28"/>
          <w:szCs w:val="28"/>
        </w:rPr>
        <w:t></w:t>
      </w:r>
      <w:r>
        <w:rPr>
          <w:rFonts w:hint="eastAsia" w:cs="宋体" w:asciiTheme="minorEastAsia" w:hAnsiTheme="minorEastAsia" w:eastAsiaTheme="minorEastAsia"/>
          <w:sz w:val="28"/>
          <w:szCs w:val="28"/>
        </w:rPr>
        <w:t>★2</w:t>
      </w:r>
      <w:r>
        <w:rPr>
          <w:rFonts w:cs="宋体" w:asciiTheme="minorEastAsia" w:hAnsiTheme="minorEastAsia" w:eastAsiaTheme="minorEastAsia"/>
          <w:sz w:val="28"/>
          <w:szCs w:val="28"/>
        </w:rPr>
        <w:t>.7</w:t>
      </w:r>
      <w:r>
        <w:rPr>
          <w:rFonts w:hint="eastAsia" w:cs="宋体" w:asciiTheme="minorEastAsia" w:hAnsiTheme="minorEastAsia" w:eastAsiaTheme="minorEastAsia"/>
          <w:sz w:val="28"/>
          <w:szCs w:val="28"/>
        </w:rPr>
        <w:t>支持系统快速恢复能力，单台节点完全崩溃时可以通过配置信息的导出导入能力快速恢复集群，无需对故障节点进行数据重载</w:t>
      </w:r>
    </w:p>
    <w:p>
      <w:pPr>
        <w:spacing w:line="360" w:lineRule="auto"/>
        <w:ind w:firstLine="280" w:firstLineChars="1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3、配置清单：</w:t>
      </w:r>
    </w:p>
    <w:p>
      <w:pPr>
        <w:widowControl w:val="0"/>
        <w:numPr>
          <w:ilvl w:val="0"/>
          <w:numId w:val="3"/>
        </w:numPr>
        <w:adjustRightInd/>
        <w:snapToGrid/>
        <w:spacing w:after="0" w:line="360" w:lineRule="auto"/>
        <w:jc w:val="both"/>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提供160颗6TB企业级 7200rpm SATA 硬盘，并包含部署上线服务</w:t>
      </w:r>
    </w:p>
    <w:p>
      <w:pPr>
        <w:widowControl w:val="0"/>
        <w:numPr>
          <w:ilvl w:val="0"/>
          <w:numId w:val="3"/>
        </w:numPr>
        <w:adjustRightInd/>
        <w:snapToGrid/>
        <w:spacing w:after="0" w:line="360" w:lineRule="auto"/>
        <w:jc w:val="both"/>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提供针对既有working space存储集群扩容服务</w:t>
      </w:r>
    </w:p>
    <w:p>
      <w:pPr>
        <w:widowControl w:val="0"/>
        <w:numPr>
          <w:ilvl w:val="0"/>
          <w:numId w:val="3"/>
        </w:numPr>
        <w:adjustRightInd/>
        <w:snapToGrid/>
        <w:spacing w:after="0" w:line="360" w:lineRule="auto"/>
        <w:jc w:val="both"/>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提供16颗企业级 SATA SSD硬盘，并包含部署上线服务</w:t>
      </w:r>
    </w:p>
    <w:p>
      <w:pPr>
        <w:widowControl w:val="0"/>
        <w:numPr>
          <w:ilvl w:val="0"/>
          <w:numId w:val="3"/>
        </w:numPr>
        <w:adjustRightInd/>
        <w:snapToGrid/>
        <w:spacing w:after="0" w:line="360" w:lineRule="auto"/>
        <w:jc w:val="both"/>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提供基因数据快速导入服务，确保200TB数据在5天内完成导入Working space并保证数据内容准确无误</w:t>
      </w:r>
    </w:p>
    <w:p>
      <w:pPr>
        <w:widowControl w:val="0"/>
        <w:numPr>
          <w:ilvl w:val="0"/>
          <w:numId w:val="3"/>
        </w:numPr>
        <w:adjustRightInd/>
        <w:snapToGrid/>
        <w:spacing w:after="0" w:line="360" w:lineRule="auto"/>
        <w:jc w:val="both"/>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提供working space与计算集群对接服务，协助配置访问权限，目录配额，数据调度接口等</w:t>
      </w:r>
    </w:p>
    <w:p>
      <w:pPr>
        <w:spacing w:line="360" w:lineRule="auto"/>
        <w:rPr>
          <w:rFonts w:cs="宋体" w:asciiTheme="minorEastAsia" w:hAnsiTheme="minorEastAsia" w:eastAsiaTheme="minorEastAsia"/>
          <w:sz w:val="28"/>
          <w:szCs w:val="28"/>
        </w:rPr>
      </w:pP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（1）保修期：免费质保期1年，自验收合格之日起算，并提供相关承诺书。质保期内发生任何设备损坏，更换设备或维修费用（包括零部件费用、维修费用等）均由卖方承担（人为操作不当造成的损坏除外）。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w:t>
      </w:r>
      <w:r>
        <w:rPr>
          <w:rFonts w:hint="eastAsia"/>
          <w:sz w:val="28"/>
          <w:szCs w:val="28"/>
        </w:rPr>
        <w:t>供应商应为采购方进行人员培训，协助采购方针对不同类型的动物和测试环境开展实验，并列出详细售后服务计划。</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宋体" w:asciiTheme="minorEastAsia" w:hAnsiTheme="minorEastAsia" w:eastAsiaTheme="minorEastAsia"/>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r>
        <w:rPr>
          <w:rFonts w:hint="eastAsia" w:cs="宋体" w:asciiTheme="minorEastAsia" w:hAnsiTheme="minorEastAsia" w:eastAsiaTheme="minorEastAsia"/>
          <w:sz w:val="28"/>
          <w:szCs w:val="28"/>
        </w:rPr>
        <w:t>必须满足招标文件中的提到的服务内容，确保甲方各项业务正确迁移并安全稳定运行至少一个月。</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合同签订生效后，15天内全部设备、材料运抵现场，并安装、调试结束，验收合格，交付买方使用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交付使用要同时向采购人提供详细的技术文件、安装记录等，同时提供货物清单及验收报告。</w:t>
      </w:r>
    </w:p>
    <w:p>
      <w:pPr>
        <w:spacing w:line="360" w:lineRule="auto"/>
        <w:ind w:firstLine="560" w:firstLineChars="200"/>
        <w:rPr>
          <w:rFonts w:asciiTheme="minorEastAsia" w:hAnsiTheme="minorEastAsia" w:eastAsiaTheme="minorEastAsia"/>
          <w:bCs/>
          <w:sz w:val="28"/>
          <w:szCs w:val="28"/>
        </w:rPr>
      </w:pP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rPr>
          <w:rFonts w:cs="宋体" w:asciiTheme="minorEastAsia" w:hAnsiTheme="minorEastAsia" w:eastAsiaTheme="minorEastAsia"/>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交付使用前发生的产品硬件损坏和不合格，一律退换新品。在质保期间，前三个月内发生的产品损坏和性能达不到使用要求（非使用不当原因造成），</w:t>
      </w:r>
      <w:r>
        <w:rPr>
          <w:rFonts w:hint="eastAsia" w:cs="宋体" w:asciiTheme="minorEastAsia" w:hAnsiTheme="minorEastAsia" w:eastAsiaTheme="minorEastAsia"/>
          <w:sz w:val="28"/>
          <w:szCs w:val="28"/>
        </w:rPr>
        <w:t>根据实际情况，经双方协商，可按以下办法处理：</w:t>
      </w:r>
    </w:p>
    <w:p>
      <w:pPr>
        <w:spacing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⑴更换：由卖方承担所发生的全部费用。</w:t>
      </w:r>
    </w:p>
    <w:p>
      <w:pPr>
        <w:spacing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⑵贬值处理：由甲乙双方合议定价。</w:t>
      </w:r>
    </w:p>
    <w:p>
      <w:pPr>
        <w:spacing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⑶退货处理：卖方应退还支付的货物款，同时应承担该货物的直接费用(运输、保险、检验、货款利息及银行手续费等)。</w:t>
      </w:r>
    </w:p>
    <w:p>
      <w:pPr>
        <w:spacing w:line="360" w:lineRule="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3、投标方所提供服务应包括：（1）含新增可用空间</w:t>
      </w:r>
      <w:r>
        <w:rPr>
          <w:rFonts w:cs="宋体" w:asciiTheme="minorEastAsia" w:hAnsiTheme="minorEastAsia" w:eastAsiaTheme="minorEastAsia"/>
          <w:sz w:val="28"/>
          <w:szCs w:val="28"/>
        </w:rPr>
        <w:t>license</w:t>
      </w:r>
      <w:r>
        <w:rPr>
          <w:rFonts w:hint="eastAsia" w:cs="宋体" w:asciiTheme="minorEastAsia" w:hAnsiTheme="minorEastAsia" w:eastAsiaTheme="minorEastAsia"/>
          <w:sz w:val="28"/>
          <w:szCs w:val="28"/>
        </w:rPr>
        <w:t>许可；（2）含新增磁盘上线服务；（3）含旧存储系统数据平衡以及一致性验证服务；（4）含外部数据导入及一致性验证服务</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401414769"/>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序号</w:t>
            </w:r>
          </w:p>
        </w:tc>
        <w:tc>
          <w:tcPr>
            <w:tcW w:w="198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评分因素</w:t>
            </w:r>
          </w:p>
        </w:tc>
        <w:tc>
          <w:tcPr>
            <w:tcW w:w="561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评审细则</w:t>
            </w:r>
          </w:p>
        </w:tc>
        <w:tc>
          <w:tcPr>
            <w:tcW w:w="798"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6"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1</w:t>
            </w:r>
          </w:p>
        </w:tc>
        <w:tc>
          <w:tcPr>
            <w:tcW w:w="198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价格</w:t>
            </w:r>
          </w:p>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（30分）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8"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2</w:t>
            </w:r>
          </w:p>
        </w:tc>
        <w:tc>
          <w:tcPr>
            <w:tcW w:w="198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技术能力</w:t>
            </w:r>
          </w:p>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33</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hint="eastAsia" w:cs="宋体" w:asciiTheme="minorEastAsia" w:hAnsiTheme="minorEastAsia" w:eastAsiaTheme="minorEastAsia"/>
                <w:bCs/>
                <w:sz w:val="24"/>
                <w:szCs w:val="24"/>
              </w:rPr>
              <w:t>根据各投标产品的先进性、匹配性、可靠性、稳定性以及质量、性能酌情打分，较好5分，一般</w:t>
            </w:r>
            <w:r>
              <w:rPr>
                <w:rFonts w:cs="宋体" w:asciiTheme="minorEastAsia" w:hAnsiTheme="minorEastAsia" w:eastAsiaTheme="minorEastAsia"/>
                <w:bCs/>
                <w:sz w:val="24"/>
                <w:szCs w:val="24"/>
              </w:rPr>
              <w:t>2-3</w:t>
            </w:r>
            <w:r>
              <w:rPr>
                <w:rFonts w:hint="eastAsia" w:cs="宋体" w:asciiTheme="minorEastAsia" w:hAnsiTheme="minorEastAsia" w:eastAsiaTheme="minorEastAsia"/>
                <w:bCs/>
                <w:sz w:val="24"/>
                <w:szCs w:val="24"/>
              </w:rPr>
              <w:t>分，其他不得分。</w:t>
            </w:r>
          </w:p>
        </w:tc>
        <w:tc>
          <w:tcPr>
            <w:tcW w:w="798" w:type="dxa"/>
            <w:vAlign w:val="center"/>
          </w:tcPr>
          <w:p>
            <w:pPr>
              <w:spacing w:line="360" w:lineRule="auto"/>
              <w:ind w:firstLine="120" w:firstLineChars="50"/>
              <w:rPr>
                <w:rFonts w:cs="Arial" w:asciiTheme="minorEastAsia" w:hAnsiTheme="minorEastAsia" w:eastAsiaTheme="minorEastAsia"/>
                <w:bCs/>
                <w:sz w:val="24"/>
                <w:szCs w:val="24"/>
              </w:rPr>
            </w:pPr>
            <w:r>
              <w:rPr>
                <w:rFonts w:hint="eastAsia" w:asciiTheme="minorEastAsia" w:hAnsiTheme="minorEastAsia" w:eastAsiaTheme="minorEastAsia"/>
                <w:bCs/>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7"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sz w:val="24"/>
                <w:szCs w:val="24"/>
              </w:rPr>
            </w:pPr>
          </w:p>
        </w:tc>
        <w:tc>
          <w:tcPr>
            <w:tcW w:w="5614" w:type="dxa"/>
            <w:vAlign w:val="center"/>
          </w:tcPr>
          <w:p>
            <w:pPr>
              <w:spacing w:line="360" w:lineRule="auto"/>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 xml:space="preserve">投标产品对招标文件具体需求的响应程度：满足招标文件技术指标、参数要求的得24分（" ★"项的为主要指标，不满足的每项减3分；其他每有一项偏离减1分；负偏离超过6项的不得分，每有一项优于招标文件，经评委会认可的加1分，最多加4分。） </w:t>
            </w:r>
          </w:p>
        </w:tc>
        <w:tc>
          <w:tcPr>
            <w:tcW w:w="798" w:type="dxa"/>
            <w:vAlign w:val="center"/>
          </w:tcPr>
          <w:p>
            <w:pPr>
              <w:spacing w:line="360" w:lineRule="auto"/>
              <w:ind w:firstLine="120" w:firstLineChars="50"/>
              <w:rPr>
                <w:rFonts w:cs="Arial" w:asciiTheme="minorEastAsia" w:hAnsiTheme="minorEastAsia" w:eastAsiaTheme="minorEastAsia"/>
                <w:bCs/>
                <w:sz w:val="24"/>
                <w:szCs w:val="24"/>
              </w:rPr>
            </w:pPr>
            <w:r>
              <w:rPr>
                <w:rFonts w:hint="eastAsia" w:asciiTheme="minorEastAsia" w:hAnsiTheme="minorEastAsia" w:eastAsiaTheme="minorEastAsia"/>
                <w:bCs/>
                <w:sz w:val="24"/>
                <w:szCs w:val="24"/>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9"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3</w:t>
            </w:r>
          </w:p>
        </w:tc>
        <w:tc>
          <w:tcPr>
            <w:tcW w:w="198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服务</w:t>
            </w:r>
          </w:p>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15</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售后服务</w:t>
            </w:r>
            <w:r>
              <w:rPr>
                <w:rFonts w:hint="eastAsia" w:cs="Arial" w:asciiTheme="minorEastAsia" w:hAnsiTheme="minorEastAsia" w:eastAsiaTheme="minorEastAsia"/>
                <w:bCs/>
                <w:sz w:val="24"/>
                <w:szCs w:val="24"/>
              </w:rPr>
              <w:t>方案</w:t>
            </w:r>
            <w:r>
              <w:rPr>
                <w:rFonts w:cs="Arial" w:asciiTheme="minorEastAsia" w:hAnsiTheme="minorEastAsia" w:eastAsiaTheme="minorEastAsia"/>
                <w:bCs/>
                <w:sz w:val="24"/>
                <w:szCs w:val="24"/>
              </w:rPr>
              <w:t>：售后服务体系、江苏地区售后服务机构及人员、售后服务承诺、售后服务应答及处理时间，质保期内的售后服务范围、质保期满后的售后服务范围和收费情况</w:t>
            </w:r>
            <w:r>
              <w:rPr>
                <w:rFonts w:hint="eastAsia" w:cs="Arial" w:asciiTheme="minorEastAsia" w:hAnsiTheme="minorEastAsia" w:eastAsiaTheme="minorEastAsia"/>
                <w:bCs/>
                <w:sz w:val="24"/>
                <w:szCs w:val="24"/>
              </w:rPr>
              <w:t>、备品备件的承诺。</w:t>
            </w:r>
          </w:p>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方案完整、合理可行的得11分；方案较完整、较合理可行的得6分；方案不完整、不合理不可行的得1分</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sz w:val="24"/>
                <w:szCs w:val="24"/>
              </w:rPr>
            </w:pP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4</w:t>
            </w:r>
          </w:p>
        </w:tc>
        <w:tc>
          <w:tcPr>
            <w:tcW w:w="1984" w:type="dxa"/>
            <w:vAlign w:val="center"/>
          </w:tcPr>
          <w:p>
            <w:pPr>
              <w:spacing w:line="360" w:lineRule="auto"/>
              <w:ind w:right="-275" w:rightChars="-125"/>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业绩（</w:t>
            </w:r>
            <w:r>
              <w:rPr>
                <w:rFonts w:hint="eastAsia" w:cs="Arial" w:asciiTheme="minorEastAsia" w:hAnsiTheme="minorEastAsia" w:eastAsiaTheme="minorEastAsia"/>
                <w:bCs/>
                <w:sz w:val="24"/>
                <w:szCs w:val="24"/>
              </w:rPr>
              <w:t>15</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sz w:val="24"/>
                <w:szCs w:val="24"/>
              </w:rPr>
              <w:t>投标人2015年01月01日以来的类似项目业绩，每提供一个得3分，最高得15分。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5</w:t>
            </w:r>
          </w:p>
        </w:tc>
        <w:tc>
          <w:tcPr>
            <w:tcW w:w="198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投标人财务与信誉状况（</w:t>
            </w:r>
            <w:r>
              <w:rPr>
                <w:rFonts w:hint="eastAsia" w:cs="Arial" w:asciiTheme="minorEastAsia" w:hAnsiTheme="minorEastAsia" w:eastAsiaTheme="minorEastAsia"/>
                <w:bCs/>
                <w:sz w:val="24"/>
                <w:szCs w:val="24"/>
              </w:rPr>
              <w:t>3</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1"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6</w:t>
            </w:r>
          </w:p>
        </w:tc>
        <w:tc>
          <w:tcPr>
            <w:tcW w:w="198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对招标文件响应程度（</w:t>
            </w:r>
            <w:r>
              <w:rPr>
                <w:rFonts w:hint="eastAsia" w:cs="Arial" w:asciiTheme="minorEastAsia" w:hAnsiTheme="minorEastAsia" w:eastAsiaTheme="minorEastAsia"/>
                <w:bCs/>
                <w:sz w:val="24"/>
                <w:szCs w:val="24"/>
              </w:rPr>
              <w:t>2</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7</w:t>
            </w:r>
          </w:p>
        </w:tc>
        <w:tc>
          <w:tcPr>
            <w:tcW w:w="1984" w:type="dxa"/>
            <w:vMerge w:val="restart"/>
            <w:vAlign w:val="center"/>
          </w:tcPr>
          <w:p>
            <w:pPr>
              <w:spacing w:line="360" w:lineRule="auto"/>
              <w:rPr>
                <w:rFonts w:cs="Arial" w:asciiTheme="minorEastAsia" w:hAnsiTheme="minorEastAsia" w:eastAsiaTheme="minorEastAsia"/>
                <w:bCs/>
                <w:sz w:val="24"/>
                <w:szCs w:val="24"/>
              </w:rPr>
            </w:pPr>
            <w:r>
              <w:rPr>
                <w:rFonts w:hint="eastAsia" w:cs="宋体" w:asciiTheme="minorEastAsia" w:hAnsiTheme="minorEastAsia" w:eastAsiaTheme="minorEastAsia"/>
                <w:bCs/>
                <w:sz w:val="24"/>
                <w:szCs w:val="24"/>
              </w:rPr>
              <w:t>国家政策导向</w:t>
            </w: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2</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环境标志产品</w:t>
            </w:r>
            <w:r>
              <w:rPr>
                <w:rFonts w:hint="eastAsia" w:cs="Arial" w:asciiTheme="minorEastAsia" w:hAnsiTheme="minorEastAsia" w:eastAsiaTheme="minorEastAsia"/>
                <w:bCs/>
                <w:sz w:val="24"/>
                <w:szCs w:val="24"/>
              </w:rPr>
              <w:t>：</w:t>
            </w:r>
            <w:r>
              <w:rPr>
                <w:rFonts w:cs="Arial" w:asciiTheme="minorEastAsia" w:hAnsiTheme="minorEastAsia" w:eastAsiaTheme="minorEastAsia"/>
                <w:bCs/>
                <w:sz w:val="24"/>
                <w:szCs w:val="24"/>
              </w:rPr>
              <w:t>是指列入财政部、环境保护部最新公布的《环境标志产品政府采购清单》内的产品</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sz w:val="24"/>
                <w:szCs w:val="24"/>
              </w:rPr>
            </w:pP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节能产品</w:t>
            </w:r>
            <w:r>
              <w:rPr>
                <w:rFonts w:hint="eastAsia" w:cs="Arial" w:asciiTheme="minorEastAsia" w:hAnsiTheme="minorEastAsia" w:eastAsiaTheme="minorEastAsia"/>
                <w:bCs/>
                <w:sz w:val="24"/>
                <w:szCs w:val="24"/>
              </w:rPr>
              <w:t>：</w:t>
            </w:r>
            <w:r>
              <w:rPr>
                <w:rFonts w:cs="Arial" w:asciiTheme="minorEastAsia" w:hAnsiTheme="minorEastAsia" w:eastAsiaTheme="minorEastAsia"/>
                <w:bCs/>
                <w:sz w:val="24"/>
                <w:szCs w:val="24"/>
              </w:rPr>
              <w:t>是指列入财政部、国家发改委最新公布的《节能产品政府采购清单》内的产品</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w:t>
            </w:r>
          </w:p>
        </w:tc>
      </w:tr>
    </w:tbl>
    <w:p>
      <w:pPr>
        <w:spacing w:line="360" w:lineRule="auto"/>
        <w:rPr>
          <w:rFonts w:asciiTheme="minorEastAsia" w:hAnsiTheme="minorEastAsia" w:eastAsiaTheme="minorEastAsia"/>
          <w:bCs/>
          <w:sz w:val="28"/>
          <w:szCs w:val="28"/>
        </w:rPr>
      </w:pPr>
    </w:p>
    <w:p>
      <w:pPr>
        <w:spacing w:line="360" w:lineRule="auto"/>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49090576"/>
      <w:bookmarkStart w:id="171" w:name="_Toc26554094"/>
      <w:bookmarkStart w:id="172"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955070"/>
      <w:bookmarkEnd w:id="175"/>
      <w:bookmarkStart w:id="176" w:name="_格式3__银行出具的资信证明"/>
      <w:bookmarkEnd w:id="176"/>
      <w:bookmarkStart w:id="177" w:name="_Hlt2667138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hint="eastAsia" w:asciiTheme="minorEastAsia" w:hAnsiTheme="minorEastAsia" w:eastAsiaTheme="minorEastAsia"/>
          <w:sz w:val="28"/>
          <w:szCs w:val="28"/>
        </w:rPr>
      </w:pPr>
    </w:p>
    <w:p>
      <w:pPr>
        <w:pStyle w:val="26"/>
        <w:ind w:firstLine="0"/>
        <w:rPr>
          <w:rFonts w:hint="eastAsia" w:asciiTheme="minorEastAsia" w:hAnsiTheme="minorEastAsia" w:eastAsiaTheme="minorEastAsia"/>
          <w:sz w:val="28"/>
          <w:szCs w:val="28"/>
        </w:rPr>
      </w:pPr>
    </w:p>
    <w:p>
      <w:pPr>
        <w:pStyle w:val="26"/>
        <w:ind w:firstLine="0"/>
        <w:rPr>
          <w:rFonts w:hint="eastAsia"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hint="eastAsia" w:asciiTheme="minorEastAsia" w:hAnsiTheme="minorEastAsia" w:eastAsiaTheme="minorEastAsia"/>
          <w:b/>
          <w:color w:val="FF0000"/>
          <w:sz w:val="24"/>
          <w:szCs w:val="28"/>
        </w:rPr>
        <w:t>（无息）</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2</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779F8"/>
    <w:multiLevelType w:val="multilevel"/>
    <w:tmpl w:val="0DA779F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22A9"/>
    <w:rsid w:val="0009546A"/>
    <w:rsid w:val="00096EB7"/>
    <w:rsid w:val="000A4EF6"/>
    <w:rsid w:val="000B08EC"/>
    <w:rsid w:val="000B0E83"/>
    <w:rsid w:val="000B538B"/>
    <w:rsid w:val="000C3635"/>
    <w:rsid w:val="000C6FE5"/>
    <w:rsid w:val="000C7C51"/>
    <w:rsid w:val="000D0163"/>
    <w:rsid w:val="000D27D3"/>
    <w:rsid w:val="000E7086"/>
    <w:rsid w:val="000F4CEA"/>
    <w:rsid w:val="00100D01"/>
    <w:rsid w:val="00101A8A"/>
    <w:rsid w:val="0012092A"/>
    <w:rsid w:val="001225B3"/>
    <w:rsid w:val="00124A3C"/>
    <w:rsid w:val="00125C10"/>
    <w:rsid w:val="00130D43"/>
    <w:rsid w:val="00141840"/>
    <w:rsid w:val="0016026B"/>
    <w:rsid w:val="00160A9B"/>
    <w:rsid w:val="001647DF"/>
    <w:rsid w:val="00165E37"/>
    <w:rsid w:val="00166953"/>
    <w:rsid w:val="001674B0"/>
    <w:rsid w:val="00167738"/>
    <w:rsid w:val="00170D4A"/>
    <w:rsid w:val="00171853"/>
    <w:rsid w:val="0018443B"/>
    <w:rsid w:val="00193521"/>
    <w:rsid w:val="001A049C"/>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65EA"/>
    <w:rsid w:val="001E73B5"/>
    <w:rsid w:val="001F4F63"/>
    <w:rsid w:val="0020432E"/>
    <w:rsid w:val="002070F5"/>
    <w:rsid w:val="002177AE"/>
    <w:rsid w:val="00232127"/>
    <w:rsid w:val="002327D4"/>
    <w:rsid w:val="00244DA0"/>
    <w:rsid w:val="002453B7"/>
    <w:rsid w:val="0025535E"/>
    <w:rsid w:val="00266C11"/>
    <w:rsid w:val="00272CB4"/>
    <w:rsid w:val="00295368"/>
    <w:rsid w:val="002A4DD3"/>
    <w:rsid w:val="002A5E57"/>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482F"/>
    <w:rsid w:val="00336542"/>
    <w:rsid w:val="00341D73"/>
    <w:rsid w:val="00343344"/>
    <w:rsid w:val="00344696"/>
    <w:rsid w:val="003525A5"/>
    <w:rsid w:val="003538BE"/>
    <w:rsid w:val="0036460C"/>
    <w:rsid w:val="00365285"/>
    <w:rsid w:val="0037490B"/>
    <w:rsid w:val="0038270D"/>
    <w:rsid w:val="0038549E"/>
    <w:rsid w:val="00397BA9"/>
    <w:rsid w:val="003B1427"/>
    <w:rsid w:val="003B2DF7"/>
    <w:rsid w:val="003B3CF8"/>
    <w:rsid w:val="003C7177"/>
    <w:rsid w:val="003D2715"/>
    <w:rsid w:val="003D37D8"/>
    <w:rsid w:val="003E2F0D"/>
    <w:rsid w:val="003F3546"/>
    <w:rsid w:val="003F6A3E"/>
    <w:rsid w:val="003F7CC8"/>
    <w:rsid w:val="00404C89"/>
    <w:rsid w:val="00411C53"/>
    <w:rsid w:val="00412566"/>
    <w:rsid w:val="00412F66"/>
    <w:rsid w:val="00413A13"/>
    <w:rsid w:val="00414074"/>
    <w:rsid w:val="00421D40"/>
    <w:rsid w:val="00426133"/>
    <w:rsid w:val="00431F8A"/>
    <w:rsid w:val="004358AB"/>
    <w:rsid w:val="0043654C"/>
    <w:rsid w:val="004416FF"/>
    <w:rsid w:val="00442EE3"/>
    <w:rsid w:val="00443D5F"/>
    <w:rsid w:val="004459E6"/>
    <w:rsid w:val="0044705E"/>
    <w:rsid w:val="00451E2F"/>
    <w:rsid w:val="00475B2A"/>
    <w:rsid w:val="00477C2E"/>
    <w:rsid w:val="004808C6"/>
    <w:rsid w:val="004A4F2D"/>
    <w:rsid w:val="004E0EEC"/>
    <w:rsid w:val="004E3316"/>
    <w:rsid w:val="004E3402"/>
    <w:rsid w:val="004F15A0"/>
    <w:rsid w:val="004F2464"/>
    <w:rsid w:val="004F54A0"/>
    <w:rsid w:val="004F5C9E"/>
    <w:rsid w:val="004F6DEC"/>
    <w:rsid w:val="004F7103"/>
    <w:rsid w:val="005129DB"/>
    <w:rsid w:val="00523B5F"/>
    <w:rsid w:val="005253AD"/>
    <w:rsid w:val="00532F1E"/>
    <w:rsid w:val="00541E69"/>
    <w:rsid w:val="00557F99"/>
    <w:rsid w:val="0057236C"/>
    <w:rsid w:val="0057580C"/>
    <w:rsid w:val="00575FC2"/>
    <w:rsid w:val="0058115B"/>
    <w:rsid w:val="00581B7E"/>
    <w:rsid w:val="00582807"/>
    <w:rsid w:val="00582977"/>
    <w:rsid w:val="005866DD"/>
    <w:rsid w:val="00590D7C"/>
    <w:rsid w:val="0059317B"/>
    <w:rsid w:val="00596F67"/>
    <w:rsid w:val="00597D35"/>
    <w:rsid w:val="005B00B9"/>
    <w:rsid w:val="005B44B4"/>
    <w:rsid w:val="005C005E"/>
    <w:rsid w:val="005C66D3"/>
    <w:rsid w:val="005D2E1F"/>
    <w:rsid w:val="005D3B52"/>
    <w:rsid w:val="005F103C"/>
    <w:rsid w:val="00601FB9"/>
    <w:rsid w:val="00602BED"/>
    <w:rsid w:val="0060453F"/>
    <w:rsid w:val="006045FD"/>
    <w:rsid w:val="006073C6"/>
    <w:rsid w:val="006160DD"/>
    <w:rsid w:val="00617156"/>
    <w:rsid w:val="006218B4"/>
    <w:rsid w:val="006411FE"/>
    <w:rsid w:val="006600C0"/>
    <w:rsid w:val="00663D89"/>
    <w:rsid w:val="0067467A"/>
    <w:rsid w:val="00681F07"/>
    <w:rsid w:val="00695BF8"/>
    <w:rsid w:val="006977C3"/>
    <w:rsid w:val="006A096A"/>
    <w:rsid w:val="006A754D"/>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40B"/>
    <w:rsid w:val="00747556"/>
    <w:rsid w:val="007543D9"/>
    <w:rsid w:val="00754FBF"/>
    <w:rsid w:val="00755373"/>
    <w:rsid w:val="00791FC9"/>
    <w:rsid w:val="00792482"/>
    <w:rsid w:val="0079316D"/>
    <w:rsid w:val="007947E9"/>
    <w:rsid w:val="007A58F8"/>
    <w:rsid w:val="007B3D32"/>
    <w:rsid w:val="007E0F09"/>
    <w:rsid w:val="007E2F52"/>
    <w:rsid w:val="007E466E"/>
    <w:rsid w:val="007E5C50"/>
    <w:rsid w:val="007E7839"/>
    <w:rsid w:val="007F1718"/>
    <w:rsid w:val="007F18E6"/>
    <w:rsid w:val="007F226B"/>
    <w:rsid w:val="00801146"/>
    <w:rsid w:val="008324FE"/>
    <w:rsid w:val="0083334C"/>
    <w:rsid w:val="00833AE1"/>
    <w:rsid w:val="00834323"/>
    <w:rsid w:val="00841379"/>
    <w:rsid w:val="0085068C"/>
    <w:rsid w:val="00853556"/>
    <w:rsid w:val="008545FA"/>
    <w:rsid w:val="00863149"/>
    <w:rsid w:val="00881E8B"/>
    <w:rsid w:val="00887A55"/>
    <w:rsid w:val="00891674"/>
    <w:rsid w:val="008940B1"/>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2B90"/>
    <w:rsid w:val="009F453D"/>
    <w:rsid w:val="00A02CA7"/>
    <w:rsid w:val="00A157F0"/>
    <w:rsid w:val="00A25E57"/>
    <w:rsid w:val="00A32D31"/>
    <w:rsid w:val="00A37234"/>
    <w:rsid w:val="00A4464F"/>
    <w:rsid w:val="00A46E8D"/>
    <w:rsid w:val="00A478D2"/>
    <w:rsid w:val="00A536D3"/>
    <w:rsid w:val="00A66AB8"/>
    <w:rsid w:val="00A67624"/>
    <w:rsid w:val="00A719C8"/>
    <w:rsid w:val="00A754E0"/>
    <w:rsid w:val="00A84971"/>
    <w:rsid w:val="00A913B6"/>
    <w:rsid w:val="00A960CD"/>
    <w:rsid w:val="00AA10B3"/>
    <w:rsid w:val="00AA278C"/>
    <w:rsid w:val="00AB3CFF"/>
    <w:rsid w:val="00AC2325"/>
    <w:rsid w:val="00AC3CE4"/>
    <w:rsid w:val="00AD713B"/>
    <w:rsid w:val="00AE5082"/>
    <w:rsid w:val="00AE6332"/>
    <w:rsid w:val="00AF0E8F"/>
    <w:rsid w:val="00AF3ACC"/>
    <w:rsid w:val="00AF539E"/>
    <w:rsid w:val="00B06748"/>
    <w:rsid w:val="00B10D4E"/>
    <w:rsid w:val="00B13E88"/>
    <w:rsid w:val="00B14B96"/>
    <w:rsid w:val="00B2377D"/>
    <w:rsid w:val="00B300AE"/>
    <w:rsid w:val="00B312ED"/>
    <w:rsid w:val="00B32830"/>
    <w:rsid w:val="00B33A83"/>
    <w:rsid w:val="00B405B2"/>
    <w:rsid w:val="00B445BC"/>
    <w:rsid w:val="00B47081"/>
    <w:rsid w:val="00B4709A"/>
    <w:rsid w:val="00B47424"/>
    <w:rsid w:val="00B517FD"/>
    <w:rsid w:val="00B531AF"/>
    <w:rsid w:val="00B54479"/>
    <w:rsid w:val="00B65818"/>
    <w:rsid w:val="00B70A98"/>
    <w:rsid w:val="00B720FA"/>
    <w:rsid w:val="00B7298F"/>
    <w:rsid w:val="00B767A7"/>
    <w:rsid w:val="00B93218"/>
    <w:rsid w:val="00B9381E"/>
    <w:rsid w:val="00B93B01"/>
    <w:rsid w:val="00B9568F"/>
    <w:rsid w:val="00B96E91"/>
    <w:rsid w:val="00B97749"/>
    <w:rsid w:val="00B97E23"/>
    <w:rsid w:val="00BA78DC"/>
    <w:rsid w:val="00BB2734"/>
    <w:rsid w:val="00BB3582"/>
    <w:rsid w:val="00BC5C79"/>
    <w:rsid w:val="00BC7A5C"/>
    <w:rsid w:val="00BD02B4"/>
    <w:rsid w:val="00BD2AED"/>
    <w:rsid w:val="00BD422E"/>
    <w:rsid w:val="00BD6A49"/>
    <w:rsid w:val="00BD6FBD"/>
    <w:rsid w:val="00BD77ED"/>
    <w:rsid w:val="00BE436C"/>
    <w:rsid w:val="00BE7284"/>
    <w:rsid w:val="00BF363B"/>
    <w:rsid w:val="00BF3F02"/>
    <w:rsid w:val="00BF3F2A"/>
    <w:rsid w:val="00BF688E"/>
    <w:rsid w:val="00BF6B18"/>
    <w:rsid w:val="00C00BC7"/>
    <w:rsid w:val="00C05B6E"/>
    <w:rsid w:val="00C12969"/>
    <w:rsid w:val="00C13584"/>
    <w:rsid w:val="00C1690A"/>
    <w:rsid w:val="00C30C20"/>
    <w:rsid w:val="00C370CA"/>
    <w:rsid w:val="00C40E65"/>
    <w:rsid w:val="00C541CB"/>
    <w:rsid w:val="00C55166"/>
    <w:rsid w:val="00C714F0"/>
    <w:rsid w:val="00C76558"/>
    <w:rsid w:val="00C86FD4"/>
    <w:rsid w:val="00C96654"/>
    <w:rsid w:val="00CB2130"/>
    <w:rsid w:val="00CB3C11"/>
    <w:rsid w:val="00CD4D83"/>
    <w:rsid w:val="00CE18E8"/>
    <w:rsid w:val="00D126C6"/>
    <w:rsid w:val="00D1587C"/>
    <w:rsid w:val="00D278D7"/>
    <w:rsid w:val="00D31D50"/>
    <w:rsid w:val="00D323F9"/>
    <w:rsid w:val="00D4211D"/>
    <w:rsid w:val="00D44B37"/>
    <w:rsid w:val="00D5054E"/>
    <w:rsid w:val="00D53633"/>
    <w:rsid w:val="00D56CB6"/>
    <w:rsid w:val="00D61AE7"/>
    <w:rsid w:val="00D634CC"/>
    <w:rsid w:val="00D77EC9"/>
    <w:rsid w:val="00D80A9F"/>
    <w:rsid w:val="00D81D23"/>
    <w:rsid w:val="00D9005C"/>
    <w:rsid w:val="00D9613E"/>
    <w:rsid w:val="00DA1746"/>
    <w:rsid w:val="00DA4334"/>
    <w:rsid w:val="00DA6794"/>
    <w:rsid w:val="00DB087D"/>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761F"/>
    <w:rsid w:val="00F94053"/>
    <w:rsid w:val="00F94356"/>
    <w:rsid w:val="00F952C7"/>
    <w:rsid w:val="00F96BF5"/>
    <w:rsid w:val="00FA1FA5"/>
    <w:rsid w:val="00FA4F5F"/>
    <w:rsid w:val="00FA736D"/>
    <w:rsid w:val="00FA7B45"/>
    <w:rsid w:val="00FB0011"/>
    <w:rsid w:val="00FB5306"/>
    <w:rsid w:val="00FB608D"/>
    <w:rsid w:val="00FC0456"/>
    <w:rsid w:val="00FC3104"/>
    <w:rsid w:val="00FF44F0"/>
    <w:rsid w:val="00FF7A26"/>
    <w:rsid w:val="0D7C3718"/>
    <w:rsid w:val="224B6541"/>
    <w:rsid w:val="23711F72"/>
    <w:rsid w:val="62CD3F75"/>
    <w:rsid w:val="67B062B6"/>
    <w:rsid w:val="7A8236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Char"/>
    <w:basedOn w:val="17"/>
    <w:link w:val="3"/>
    <w:semiHidden/>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uiPriority w:val="99"/>
    <w:rPr>
      <w:rFonts w:ascii="Tahoma" w:hAnsi="Tahoma"/>
    </w:rPr>
  </w:style>
  <w:style w:type="character" w:customStyle="1" w:styleId="44">
    <w:name w:val="批注框文本 Char"/>
    <w:basedOn w:val="17"/>
    <w:link w:val="11"/>
    <w:semiHidden/>
    <w:uiPriority w:val="99"/>
    <w:rPr>
      <w:rFonts w:ascii="Tahoma" w:hAnsi="Tahoma"/>
      <w:sz w:val="18"/>
      <w:szCs w:val="18"/>
    </w:rPr>
  </w:style>
  <w:style w:type="character" w:customStyle="1" w:styleId="45">
    <w:name w:val="批注文字 Char"/>
    <w:basedOn w:val="17"/>
    <w:link w:val="8"/>
    <w:semiHidden/>
    <w:uiPriority w:val="99"/>
    <w:rPr>
      <w:rFonts w:ascii="Tahoma" w:hAnsi="Tahoma"/>
    </w:rPr>
  </w:style>
  <w:style w:type="character" w:customStyle="1" w:styleId="46">
    <w:name w:val="批注主题 Char"/>
    <w:basedOn w:val="45"/>
    <w:link w:val="7"/>
    <w:semiHidden/>
    <w:uiPriority w:val="99"/>
    <w:rPr>
      <w:rFonts w:ascii="Tahoma" w:hAnsi="Tahoma"/>
      <w:b/>
      <w:bCs/>
    </w:rPr>
  </w:style>
  <w:style w:type="paragraph" w:customStyle="1" w:styleId="47">
    <w:name w:val="List Paragraph1"/>
    <w:basedOn w:val="1"/>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B3A85B-8E58-4411-AB3E-2097A03D0FBC}">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36</Pages>
  <Words>2319</Words>
  <Characters>13223</Characters>
  <Lines>110</Lines>
  <Paragraphs>31</Paragraphs>
  <TotalTime>1407</TotalTime>
  <ScaleCrop>false</ScaleCrop>
  <LinksUpToDate>false</LinksUpToDate>
  <CharactersWithSpaces>15511</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lenovo</cp:lastModifiedBy>
  <dcterms:modified xsi:type="dcterms:W3CDTF">2018-11-01T06:50:39Z</dcterms:modified>
  <cp:revision>718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