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exact"/>
        <w:rPr>
          <w:rFonts w:hint="eastAsia" w:ascii="微软雅黑" w:hAnsi="微软雅黑" w:eastAsia="微软雅黑" w:cs="微软雅黑"/>
          <w:sz w:val="21"/>
          <w:szCs w:val="21"/>
        </w:rPr>
      </w:pPr>
      <w:bookmarkStart w:id="0" w:name="_Toc10193"/>
      <w:r>
        <w:rPr>
          <w:rFonts w:hint="eastAsia" w:ascii="微软雅黑" w:hAnsi="微软雅黑" w:eastAsia="微软雅黑" w:cs="微软雅黑"/>
          <w:sz w:val="21"/>
          <w:szCs w:val="21"/>
        </w:rPr>
        <w:t>南京医科大学倒置荧光显微镜采购</w:t>
      </w:r>
      <w:r>
        <w:rPr>
          <w:rFonts w:hint="eastAsia" w:ascii="微软雅黑" w:hAnsi="微软雅黑" w:eastAsia="微软雅黑" w:cs="微软雅黑"/>
          <w:sz w:val="21"/>
          <w:szCs w:val="21"/>
          <w:lang w:eastAsia="zh-CN"/>
        </w:rPr>
        <w:t>项目（二次）</w:t>
      </w:r>
      <w:r>
        <w:rPr>
          <w:rFonts w:hint="eastAsia" w:ascii="微软雅黑" w:hAnsi="微软雅黑" w:eastAsia="微软雅黑" w:cs="微软雅黑"/>
          <w:sz w:val="21"/>
          <w:szCs w:val="21"/>
        </w:rPr>
        <w:t>公开招标公告</w:t>
      </w:r>
      <w:bookmarkEnd w:id="0"/>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项目概况</w:t>
      </w:r>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南京医科大学倒置荧光显微镜采购招标项目的潜在投标人应在（</w:t>
      </w:r>
      <w:r>
        <w:rPr>
          <w:rFonts w:hint="eastAsia" w:ascii="微软雅黑" w:hAnsi="微软雅黑" w:eastAsia="微软雅黑" w:cs="微软雅黑"/>
          <w:sz w:val="21"/>
          <w:szCs w:val="21"/>
          <w:lang w:eastAsia="zh-CN" w:bidi="ar"/>
        </w:rPr>
        <w:t>南京市建邺区新城科技园南区嘉陵江东街</w:t>
      </w:r>
      <w:r>
        <w:rPr>
          <w:rFonts w:hint="eastAsia" w:ascii="微软雅黑" w:hAnsi="微软雅黑" w:eastAsia="微软雅黑" w:cs="微软雅黑"/>
          <w:sz w:val="21"/>
          <w:szCs w:val="21"/>
          <w:lang w:val="en-US" w:eastAsia="zh-CN" w:bidi="ar"/>
        </w:rPr>
        <w:t>8号综合体B3栋一单元16层</w:t>
      </w:r>
      <w:r>
        <w:rPr>
          <w:rFonts w:hint="eastAsia" w:ascii="微软雅黑" w:hAnsi="微软雅黑" w:eastAsia="微软雅黑" w:cs="微软雅黑"/>
          <w:sz w:val="21"/>
          <w:szCs w:val="21"/>
          <w:lang w:bidi="ar"/>
        </w:rPr>
        <w:t>）获取招标文件，并于202</w:t>
      </w:r>
      <w:r>
        <w:rPr>
          <w:rFonts w:hint="eastAsia" w:ascii="微软雅黑" w:hAnsi="微软雅黑" w:eastAsia="微软雅黑" w:cs="微软雅黑"/>
          <w:sz w:val="21"/>
          <w:szCs w:val="21"/>
          <w:lang w:val="en-US" w:eastAsia="zh-CN" w:bidi="ar"/>
        </w:rPr>
        <w:t>2</w:t>
      </w:r>
      <w:r>
        <w:rPr>
          <w:rFonts w:hint="eastAsia" w:ascii="微软雅黑" w:hAnsi="微软雅黑" w:eastAsia="微软雅黑" w:cs="微软雅黑"/>
          <w:sz w:val="21"/>
          <w:szCs w:val="21"/>
          <w:lang w:bidi="ar"/>
        </w:rPr>
        <w:t>年</w:t>
      </w:r>
      <w:r>
        <w:rPr>
          <w:rFonts w:hint="eastAsia" w:ascii="微软雅黑" w:hAnsi="微软雅黑" w:eastAsia="微软雅黑" w:cs="微软雅黑"/>
          <w:sz w:val="21"/>
          <w:szCs w:val="21"/>
          <w:lang w:val="en-US" w:eastAsia="zh-CN" w:bidi="ar"/>
        </w:rPr>
        <w:t>0</w:t>
      </w:r>
      <w:r>
        <w:rPr>
          <w:rFonts w:hint="eastAsia" w:ascii="微软雅黑" w:hAnsi="微软雅黑" w:eastAsia="微软雅黑" w:cs="微软雅黑"/>
          <w:sz w:val="21"/>
          <w:szCs w:val="21"/>
          <w:lang w:bidi="ar"/>
        </w:rPr>
        <w:t>1月</w:t>
      </w:r>
      <w:r>
        <w:rPr>
          <w:rFonts w:hint="eastAsia" w:ascii="微软雅黑" w:hAnsi="微软雅黑" w:eastAsia="微软雅黑" w:cs="微软雅黑"/>
          <w:sz w:val="21"/>
          <w:szCs w:val="21"/>
          <w:lang w:val="en-US" w:eastAsia="zh-CN" w:bidi="ar"/>
        </w:rPr>
        <w:t>20</w:t>
      </w:r>
      <w:r>
        <w:rPr>
          <w:rFonts w:hint="eastAsia" w:ascii="微软雅黑" w:hAnsi="微软雅黑" w:eastAsia="微软雅黑" w:cs="微软雅黑"/>
          <w:sz w:val="21"/>
          <w:szCs w:val="21"/>
          <w:lang w:bidi="ar"/>
        </w:rPr>
        <w:t>日</w:t>
      </w:r>
      <w:r>
        <w:rPr>
          <w:rFonts w:hint="eastAsia" w:ascii="微软雅黑" w:hAnsi="微软雅黑" w:eastAsia="微软雅黑" w:cs="微软雅黑"/>
          <w:sz w:val="21"/>
          <w:szCs w:val="21"/>
          <w:lang w:val="en-US" w:eastAsia="zh-CN" w:bidi="ar"/>
        </w:rPr>
        <w:t>09</w:t>
      </w:r>
      <w:r>
        <w:rPr>
          <w:rFonts w:hint="eastAsia" w:ascii="微软雅黑" w:hAnsi="微软雅黑" w:eastAsia="微软雅黑" w:cs="微软雅黑"/>
          <w:sz w:val="21"/>
          <w:szCs w:val="21"/>
          <w:lang w:bidi="ar"/>
        </w:rPr>
        <w:t>点30分（北京时间）前递交投标文件。</w:t>
      </w:r>
      <w:bookmarkStart w:id="39" w:name="_GoBack"/>
      <w:bookmarkEnd w:id="39"/>
    </w:p>
    <w:p>
      <w:pPr>
        <w:pStyle w:val="6"/>
        <w:spacing w:before="0" w:after="0" w:line="400" w:lineRule="exact"/>
        <w:jc w:val="left"/>
        <w:rPr>
          <w:rFonts w:hint="eastAsia" w:ascii="微软雅黑" w:hAnsi="微软雅黑" w:cs="微软雅黑"/>
          <w:bCs w:val="0"/>
          <w:sz w:val="21"/>
          <w:szCs w:val="21"/>
        </w:rPr>
      </w:pPr>
      <w:bookmarkStart w:id="1" w:name="_Toc35393621"/>
      <w:bookmarkStart w:id="2" w:name="_Toc28359079"/>
      <w:bookmarkStart w:id="3" w:name="_Toc35393790"/>
      <w:bookmarkStart w:id="4" w:name="_Toc28359002"/>
      <w:bookmarkStart w:id="5" w:name="_Toc23759"/>
      <w:bookmarkStart w:id="6" w:name="_Hlk24379207"/>
      <w:r>
        <w:rPr>
          <w:rFonts w:hint="eastAsia" w:ascii="微软雅黑" w:hAnsi="微软雅黑" w:cs="微软雅黑"/>
          <w:bCs w:val="0"/>
          <w:sz w:val="21"/>
          <w:szCs w:val="21"/>
        </w:rPr>
        <w:t>一、项目基本情况</w:t>
      </w:r>
      <w:bookmarkEnd w:id="1"/>
      <w:bookmarkEnd w:id="2"/>
      <w:bookmarkEnd w:id="3"/>
      <w:bookmarkEnd w:id="4"/>
      <w:bookmarkEnd w:id="5"/>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项目编号：JSHC-2021110763B2</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项目名称：南京医科大学倒置荧光显微镜采购</w:t>
      </w:r>
    </w:p>
    <w:bookmarkEnd w:id="6"/>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预算金额：人民币叁拾伍万圆整（￥35万元整）</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最高限价：人民币叁拾伍万圆整（￥35万元整）</w:t>
      </w:r>
    </w:p>
    <w:p>
      <w:pPr>
        <w:pStyle w:val="16"/>
        <w:spacing w:before="0" w:beforeAutospacing="0" w:after="0" w:afterAutospacing="0" w:line="400" w:lineRule="exact"/>
        <w:ind w:firstLine="480"/>
      </w:pPr>
      <w:r>
        <w:rPr>
          <w:rFonts w:hint="eastAsia" w:ascii="微软雅黑" w:hAnsi="微软雅黑" w:eastAsia="微软雅黑" w:cs="微软雅黑"/>
          <w:sz w:val="21"/>
          <w:szCs w:val="21"/>
        </w:rPr>
        <w:t>采购需求：倒置荧光显微镜</w:t>
      </w:r>
      <w:r>
        <w:rPr>
          <w:rFonts w:ascii="微软雅黑" w:hAnsi="微软雅黑" w:eastAsia="微软雅黑" w:cs="微软雅黑"/>
          <w:sz w:val="21"/>
          <w:szCs w:val="21"/>
        </w:rPr>
        <w:t>1</w:t>
      </w:r>
      <w:r>
        <w:rPr>
          <w:rFonts w:hint="eastAsia" w:ascii="微软雅黑" w:hAnsi="微软雅黑" w:eastAsia="微软雅黑" w:cs="微软雅黑"/>
          <w:sz w:val="21"/>
          <w:szCs w:val="21"/>
        </w:rPr>
        <w:t>台。</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bookmarkStart w:id="7" w:name="_Toc35393791"/>
      <w:bookmarkStart w:id="8" w:name="_Toc35393622"/>
      <w:bookmarkStart w:id="9" w:name="_Toc28359080"/>
      <w:bookmarkStart w:id="10" w:name="_Toc28359003"/>
      <w:r>
        <w:rPr>
          <w:rFonts w:hint="eastAsia" w:ascii="微软雅黑" w:hAnsi="微软雅黑" w:eastAsia="微软雅黑" w:cs="微软雅黑"/>
          <w:sz w:val="21"/>
          <w:szCs w:val="21"/>
        </w:rPr>
        <w:t>合同履行期限：详见采购文件。</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本项目不接受联合体投标。</w:t>
      </w:r>
    </w:p>
    <w:p>
      <w:pPr>
        <w:pStyle w:val="6"/>
        <w:spacing w:before="0" w:after="0" w:line="400" w:lineRule="exact"/>
        <w:jc w:val="left"/>
        <w:rPr>
          <w:rFonts w:hint="eastAsia" w:ascii="微软雅黑" w:hAnsi="微软雅黑" w:cs="微软雅黑"/>
          <w:bCs w:val="0"/>
          <w:sz w:val="21"/>
          <w:szCs w:val="21"/>
        </w:rPr>
      </w:pPr>
      <w:bookmarkStart w:id="11" w:name="_Toc966"/>
      <w:r>
        <w:rPr>
          <w:rFonts w:hint="eastAsia" w:ascii="微软雅黑" w:hAnsi="微软雅黑" w:cs="微软雅黑"/>
          <w:bCs w:val="0"/>
          <w:sz w:val="21"/>
          <w:szCs w:val="21"/>
        </w:rPr>
        <w:t>二、申请人的资格要求：</w:t>
      </w:r>
      <w:bookmarkEnd w:id="7"/>
      <w:bookmarkEnd w:id="8"/>
      <w:bookmarkEnd w:id="9"/>
      <w:bookmarkEnd w:id="10"/>
      <w:bookmarkEnd w:id="11"/>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12" w:name="_Toc28359081"/>
      <w:bookmarkStart w:id="13" w:name="_Toc28359004"/>
      <w:r>
        <w:rPr>
          <w:rFonts w:hint="eastAsia" w:ascii="微软雅黑" w:hAnsi="微软雅黑" w:eastAsia="微软雅黑" w:cs="微软雅黑"/>
          <w:sz w:val="21"/>
          <w:szCs w:val="21"/>
        </w:rPr>
        <w:t>1.满足《中华人民共和国政府采购法》第二十二条规定：</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1.1具有独立承担民事责任的能力（提供法人或者其他组织的营业执照复印件）；</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1.2具有良好的商业信誉和健全的财务会计制度（提供参加本次采购活动前2020年12月至今任一月份的资产负债表和利润表，或2020年度审计报告，或银行出具的资信证明，或财政部门认可的专业担保机构出具的投标担保函；（法人或者其他组织成立未满一年的可以不提供）</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1.3具有履行合同所必需的设备和专业技术能力（根据项目需求提供履行合同所必需的设备和专业技术能力的证明材料或承诺函）； </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1.4有依法缴纳税收和社会保障资金的良好记录（提供参加本次采购活动前2020年12月至今任一月份依法缴纳税收的凭据，以及缴纳社会保险的凭据（专用收据或社会保险的凭据。依法免税或不需要缴纳社会保障资金的投标供应商，应提供相应文件证明）；</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1.5参加本次采购活动201</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年1月1日至投标截止，在经营活动中没有重大违法记录（提供参加本次采购活动前3年内在经营活动中没有重大违法记录的书面声明）；</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1.6投标供应商须提供法定代表人授权书原件、法定代表人身份证复印件、授权代表身份证复印件（如果是法定代表人直接参与投标的可以不提供授权书）。</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1.7本项目接受进口产品投标（注：本文件所称进口产品是指通过中国海关报关验放进入中国境内且产自关境外的产品）；</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2.落实政府采购政策需满足的资格要求：非专门面向中小企业、监狱企业、残疾 人福利性单位采购的项目。</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3.本项目的特定资格要求：代理商投标进口设备，需提供原厂授权证明文件,并明确承担一切售前、售后责任；</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4.拒绝下述供应商参加本次采购活动:</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4.1为采购项目提供整体设计、规范编制或者项目管理、监理、检测等服务的；</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4.2供应商单位负责人为同一人或者存在直接控股、管理关系的不同供应商，不得参加同一合同项下的采购活动；</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4.3被“信用中国”网站(www.creditchina.gov.cn)或中国政府采购网(www.ccgp.gov.cn)）列入失信被执行人、重大税收违法案件当事人、政府采购严重违法失信行为记录名单的。</w:t>
      </w:r>
    </w:p>
    <w:p>
      <w:pPr>
        <w:pStyle w:val="6"/>
        <w:spacing w:before="0" w:after="0" w:line="400" w:lineRule="exact"/>
        <w:jc w:val="left"/>
        <w:rPr>
          <w:rFonts w:hint="eastAsia" w:ascii="微软雅黑" w:hAnsi="微软雅黑" w:cs="微软雅黑"/>
          <w:bCs w:val="0"/>
          <w:sz w:val="21"/>
          <w:szCs w:val="21"/>
        </w:rPr>
      </w:pPr>
      <w:bookmarkStart w:id="14" w:name="_Toc35393623"/>
      <w:bookmarkStart w:id="15" w:name="_Toc35393792"/>
      <w:bookmarkStart w:id="16" w:name="_Toc1921"/>
      <w:r>
        <w:rPr>
          <w:rFonts w:hint="eastAsia" w:ascii="微软雅黑" w:hAnsi="微软雅黑" w:cs="微软雅黑"/>
          <w:bCs w:val="0"/>
          <w:sz w:val="21"/>
          <w:szCs w:val="21"/>
        </w:rPr>
        <w:t>三、获取招标文件</w:t>
      </w:r>
      <w:bookmarkEnd w:id="12"/>
      <w:bookmarkEnd w:id="13"/>
      <w:bookmarkEnd w:id="14"/>
      <w:bookmarkEnd w:id="15"/>
      <w:bookmarkEnd w:id="16"/>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时间：2021年</w:t>
      </w: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30</w:t>
      </w:r>
      <w:r>
        <w:rPr>
          <w:rFonts w:hint="eastAsia" w:ascii="微软雅黑" w:hAnsi="微软雅黑" w:eastAsia="微软雅黑" w:cs="微软雅黑"/>
          <w:sz w:val="21"/>
          <w:szCs w:val="21"/>
        </w:rPr>
        <w:t>日至202</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1月</w:t>
      </w:r>
      <w:r>
        <w:rPr>
          <w:rFonts w:hint="eastAsia" w:ascii="微软雅黑" w:hAnsi="微软雅黑" w:eastAsia="微软雅黑" w:cs="微软雅黑"/>
          <w:sz w:val="21"/>
          <w:szCs w:val="21"/>
          <w:lang w:val="en-US" w:eastAsia="zh-CN"/>
        </w:rPr>
        <w:t>07</w:t>
      </w:r>
      <w:r>
        <w:rPr>
          <w:rFonts w:hint="eastAsia" w:ascii="微软雅黑" w:hAnsi="微软雅黑" w:eastAsia="微软雅黑" w:cs="微软雅黑"/>
          <w:sz w:val="21"/>
          <w:szCs w:val="21"/>
        </w:rPr>
        <w:t>日，每天上午09:00至11:30，下午13:30至17:00（北京时间，法定节假日除外）</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地点：南京市建邺区嘉陵江东街8号新城科技园综合体B3栋16层</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方式：供应商如确定参加投标，须购买采购文件（接受网上获取采购文件），否则投标无效。</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售价：人民币500元整，采购文件售后一概不退。</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获取采购文件须提供的资料：加盖公章的授权委托书原件或扫描件、加盖公章的被委托人身份证复印件或扫描件，及汇款凭据的截图</w:t>
      </w:r>
      <w:r>
        <w:rPr>
          <w:rFonts w:hint="eastAsia" w:ascii="微软雅黑" w:hAnsi="微软雅黑" w:eastAsia="微软雅黑" w:cs="微软雅黑"/>
          <w:b/>
          <w:bCs/>
          <w:sz w:val="21"/>
          <w:szCs w:val="21"/>
        </w:rPr>
        <w:t>（转账时请备注公司名称+0763B2，</w:t>
      </w:r>
      <w:r>
        <w:rPr>
          <w:rFonts w:hint="eastAsia" w:ascii="微软雅黑" w:hAnsi="微软雅黑" w:eastAsia="微软雅黑" w:cs="微软雅黑"/>
          <w:sz w:val="21"/>
          <w:szCs w:val="21"/>
        </w:rPr>
        <w:t>如有其他支付方式请与我公司联系）。</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联系电话：025-83609978           联系邮箱：jshc9999@163.com</w:t>
      </w:r>
    </w:p>
    <w:p>
      <w:pPr>
        <w:pStyle w:val="6"/>
        <w:spacing w:before="0" w:after="0" w:line="400" w:lineRule="exact"/>
        <w:jc w:val="left"/>
        <w:rPr>
          <w:rFonts w:hint="eastAsia" w:ascii="微软雅黑" w:hAnsi="微软雅黑" w:cs="微软雅黑"/>
          <w:bCs w:val="0"/>
          <w:sz w:val="21"/>
          <w:szCs w:val="21"/>
        </w:rPr>
      </w:pPr>
      <w:bookmarkStart w:id="17" w:name="_Toc28359082"/>
      <w:bookmarkStart w:id="18" w:name="_Toc28359005"/>
      <w:bookmarkStart w:id="19" w:name="_Toc35393624"/>
      <w:bookmarkStart w:id="20" w:name="_Toc35393793"/>
      <w:bookmarkStart w:id="21" w:name="_Toc29469"/>
      <w:r>
        <w:rPr>
          <w:rFonts w:hint="eastAsia" w:ascii="微软雅黑" w:hAnsi="微软雅黑" w:cs="微软雅黑"/>
          <w:bCs w:val="0"/>
          <w:sz w:val="21"/>
          <w:szCs w:val="21"/>
        </w:rPr>
        <w:t>四、提交投标文件</w:t>
      </w:r>
      <w:bookmarkEnd w:id="17"/>
      <w:bookmarkEnd w:id="18"/>
      <w:r>
        <w:rPr>
          <w:rFonts w:hint="eastAsia" w:ascii="微软雅黑" w:hAnsi="微软雅黑" w:cs="微软雅黑"/>
          <w:bCs w:val="0"/>
          <w:sz w:val="21"/>
          <w:szCs w:val="21"/>
        </w:rPr>
        <w:t>截止时间、开标时间和地点</w:t>
      </w:r>
      <w:bookmarkEnd w:id="19"/>
      <w:bookmarkEnd w:id="20"/>
      <w:bookmarkEnd w:id="21"/>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2" w:name="_Toc35393794"/>
      <w:bookmarkStart w:id="23" w:name="_Toc35393625"/>
      <w:bookmarkStart w:id="24" w:name="_Toc28359007"/>
      <w:bookmarkStart w:id="25" w:name="_Toc28359084"/>
      <w:r>
        <w:rPr>
          <w:rFonts w:hint="eastAsia" w:ascii="微软雅黑" w:hAnsi="微软雅黑" w:eastAsia="微软雅黑" w:cs="微软雅黑"/>
          <w:sz w:val="21"/>
          <w:szCs w:val="21"/>
          <w:lang w:bidi="ar"/>
        </w:rPr>
        <w:t>202</w:t>
      </w:r>
      <w:r>
        <w:rPr>
          <w:rFonts w:hint="eastAsia" w:ascii="微软雅黑" w:hAnsi="微软雅黑" w:eastAsia="微软雅黑" w:cs="微软雅黑"/>
          <w:sz w:val="21"/>
          <w:szCs w:val="21"/>
          <w:lang w:val="en-US" w:eastAsia="zh-CN" w:bidi="ar"/>
        </w:rPr>
        <w:t>2</w:t>
      </w:r>
      <w:r>
        <w:rPr>
          <w:rFonts w:hint="eastAsia" w:ascii="微软雅黑" w:hAnsi="微软雅黑" w:eastAsia="微软雅黑" w:cs="微软雅黑"/>
          <w:sz w:val="21"/>
          <w:szCs w:val="21"/>
          <w:lang w:bidi="ar"/>
        </w:rPr>
        <w:t>年</w:t>
      </w:r>
      <w:r>
        <w:rPr>
          <w:rFonts w:hint="eastAsia" w:ascii="微软雅黑" w:hAnsi="微软雅黑" w:eastAsia="微软雅黑" w:cs="微软雅黑"/>
          <w:sz w:val="21"/>
          <w:szCs w:val="21"/>
          <w:lang w:val="en-US" w:eastAsia="zh-CN" w:bidi="ar"/>
        </w:rPr>
        <w:t>0</w:t>
      </w:r>
      <w:r>
        <w:rPr>
          <w:rFonts w:hint="eastAsia" w:ascii="微软雅黑" w:hAnsi="微软雅黑" w:eastAsia="微软雅黑" w:cs="微软雅黑"/>
          <w:sz w:val="21"/>
          <w:szCs w:val="21"/>
          <w:lang w:bidi="ar"/>
        </w:rPr>
        <w:t>1月</w:t>
      </w:r>
      <w:r>
        <w:rPr>
          <w:rFonts w:hint="eastAsia" w:ascii="微软雅黑" w:hAnsi="微软雅黑" w:eastAsia="微软雅黑" w:cs="微软雅黑"/>
          <w:sz w:val="21"/>
          <w:szCs w:val="21"/>
          <w:lang w:val="en-US" w:eastAsia="zh-CN" w:bidi="ar"/>
        </w:rPr>
        <w:t>20</w:t>
      </w:r>
      <w:r>
        <w:rPr>
          <w:rFonts w:hint="eastAsia" w:ascii="微软雅黑" w:hAnsi="微软雅黑" w:eastAsia="微软雅黑" w:cs="微软雅黑"/>
          <w:sz w:val="21"/>
          <w:szCs w:val="21"/>
          <w:lang w:bidi="ar"/>
        </w:rPr>
        <w:t>日</w:t>
      </w:r>
      <w:r>
        <w:rPr>
          <w:rFonts w:hint="eastAsia" w:ascii="微软雅黑" w:hAnsi="微软雅黑" w:eastAsia="微软雅黑" w:cs="微软雅黑"/>
          <w:sz w:val="21"/>
          <w:szCs w:val="21"/>
          <w:lang w:val="en-US" w:eastAsia="zh-CN" w:bidi="ar"/>
        </w:rPr>
        <w:t>09</w:t>
      </w:r>
      <w:r>
        <w:rPr>
          <w:rFonts w:hint="eastAsia" w:ascii="微软雅黑" w:hAnsi="微软雅黑" w:eastAsia="微软雅黑" w:cs="微软雅黑"/>
          <w:sz w:val="21"/>
          <w:szCs w:val="21"/>
        </w:rPr>
        <w:t>点30分（北京时间）</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lang w:bidi="ar"/>
        </w:rPr>
        <w:t>南京市建邺区嘉陵江东街8号新城科技园综合体B3栋16层</w:t>
      </w:r>
    </w:p>
    <w:p>
      <w:pPr>
        <w:pStyle w:val="6"/>
        <w:spacing w:before="0" w:after="0" w:line="400" w:lineRule="exact"/>
        <w:jc w:val="left"/>
        <w:rPr>
          <w:rFonts w:hint="eastAsia" w:ascii="微软雅黑" w:hAnsi="微软雅黑" w:cs="微软雅黑"/>
          <w:bCs w:val="0"/>
          <w:sz w:val="21"/>
          <w:szCs w:val="21"/>
        </w:rPr>
      </w:pPr>
      <w:bookmarkStart w:id="26" w:name="_Toc27085"/>
      <w:r>
        <w:rPr>
          <w:rFonts w:hint="eastAsia" w:ascii="微软雅黑" w:hAnsi="微软雅黑" w:cs="微软雅黑"/>
          <w:bCs w:val="0"/>
          <w:sz w:val="21"/>
          <w:szCs w:val="21"/>
        </w:rPr>
        <w:t>五、公告期限</w:t>
      </w:r>
      <w:bookmarkEnd w:id="22"/>
      <w:bookmarkEnd w:id="23"/>
      <w:bookmarkEnd w:id="24"/>
      <w:bookmarkEnd w:id="25"/>
      <w:bookmarkEnd w:id="26"/>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7" w:name="_Toc35393795"/>
      <w:bookmarkStart w:id="28" w:name="_Toc35393626"/>
      <w:r>
        <w:rPr>
          <w:rFonts w:hint="eastAsia" w:ascii="微软雅黑" w:hAnsi="微软雅黑" w:eastAsia="微软雅黑" w:cs="微软雅黑"/>
          <w:sz w:val="21"/>
          <w:szCs w:val="21"/>
        </w:rPr>
        <w:t>自本公告发布之日起5个工作日。</w:t>
      </w:r>
    </w:p>
    <w:p>
      <w:pPr>
        <w:pStyle w:val="6"/>
        <w:numPr>
          <w:ilvl w:val="0"/>
          <w:numId w:val="1"/>
        </w:numPr>
        <w:spacing w:before="0" w:after="0" w:line="400" w:lineRule="exact"/>
        <w:jc w:val="left"/>
        <w:rPr>
          <w:rFonts w:hint="eastAsia" w:ascii="微软雅黑" w:hAnsi="微软雅黑" w:cs="微软雅黑"/>
          <w:bCs w:val="0"/>
          <w:sz w:val="21"/>
          <w:szCs w:val="21"/>
        </w:rPr>
      </w:pPr>
      <w:bookmarkStart w:id="29" w:name="_Toc16227"/>
      <w:r>
        <w:rPr>
          <w:rFonts w:hint="eastAsia" w:ascii="微软雅黑" w:hAnsi="微软雅黑" w:cs="微软雅黑"/>
          <w:bCs w:val="0"/>
          <w:sz w:val="21"/>
          <w:szCs w:val="21"/>
        </w:rPr>
        <w:t>其他补充事宜</w:t>
      </w:r>
      <w:bookmarkEnd w:id="27"/>
      <w:bookmarkEnd w:id="28"/>
      <w:bookmarkEnd w:id="29"/>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疫情防控期间注意事项：</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凡参加本次投标的相关人员，应在文件接收截止时间前完成以下程序：</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1、所有人员必须提供宁归来或苏康码的绿色健康码才能进入会场；</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2、进入开标大厅时必须佩戴口罩，不得随意走动。</w:t>
      </w:r>
    </w:p>
    <w:p>
      <w:pPr>
        <w:pStyle w:val="6"/>
        <w:spacing w:before="0" w:after="0" w:line="400" w:lineRule="exact"/>
        <w:jc w:val="left"/>
        <w:rPr>
          <w:rFonts w:hint="eastAsia" w:ascii="微软雅黑" w:hAnsi="微软雅黑" w:cs="微软雅黑"/>
          <w:bCs w:val="0"/>
          <w:sz w:val="21"/>
          <w:szCs w:val="21"/>
        </w:rPr>
      </w:pPr>
      <w:bookmarkStart w:id="30" w:name="_Toc28359085"/>
      <w:bookmarkStart w:id="31" w:name="_Toc35393627"/>
      <w:bookmarkStart w:id="32" w:name="_Toc28359008"/>
      <w:bookmarkStart w:id="33" w:name="_Toc35393796"/>
      <w:bookmarkStart w:id="34" w:name="_Toc7971"/>
      <w:r>
        <w:rPr>
          <w:rFonts w:hint="eastAsia" w:ascii="微软雅黑" w:hAnsi="微软雅黑" w:cs="微软雅黑"/>
          <w:bCs w:val="0"/>
          <w:sz w:val="21"/>
          <w:szCs w:val="21"/>
        </w:rPr>
        <w:t>七、对本次招标提出询问，请按以下方式联系。</w:t>
      </w:r>
      <w:bookmarkEnd w:id="30"/>
      <w:bookmarkEnd w:id="31"/>
      <w:bookmarkEnd w:id="32"/>
      <w:bookmarkEnd w:id="33"/>
      <w:bookmarkEnd w:id="34"/>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称：南京医科大学</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地址：南京市江宁区龙眠大道101号</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5" w:name="_Toc28359086"/>
      <w:bookmarkStart w:id="36" w:name="_Toc28359009"/>
      <w:r>
        <w:rPr>
          <w:rFonts w:hint="eastAsia" w:ascii="微软雅黑" w:hAnsi="微软雅黑" w:eastAsia="微软雅黑" w:cs="微软雅黑"/>
          <w:sz w:val="21"/>
          <w:szCs w:val="21"/>
        </w:rPr>
        <w:t>吕老师025-86869282</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 采购代理机构信息</w:t>
      </w:r>
      <w:bookmarkEnd w:id="35"/>
      <w:bookmarkEnd w:id="36"/>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称：江苏省华采招标有限公司</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　址：南京市建邺区嘉陵江东街8号新城科技园综合体B3栋16层</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7" w:name="_Toc28359010"/>
      <w:bookmarkStart w:id="38" w:name="_Toc28359087"/>
      <w:r>
        <w:rPr>
          <w:rFonts w:hint="eastAsia" w:ascii="微软雅黑" w:hAnsi="微软雅黑" w:eastAsia="微软雅黑" w:cs="微软雅黑"/>
          <w:sz w:val="21"/>
          <w:szCs w:val="21"/>
        </w:rPr>
        <w:t>025-83603368</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 项目联系方式</w:t>
      </w:r>
      <w:bookmarkEnd w:id="37"/>
      <w:bookmarkEnd w:id="38"/>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项目联系人：徐工</w:t>
      </w:r>
    </w:p>
    <w:p>
      <w:pPr>
        <w:pStyle w:val="16"/>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电　话：025-83603368</w:t>
      </w:r>
    </w:p>
    <w:p>
      <w:pPr>
        <w:pStyle w:val="16"/>
        <w:spacing w:before="0" w:beforeAutospacing="0" w:after="0" w:afterAutospacing="0" w:line="400" w:lineRule="exact"/>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spacing w:line="400" w:lineRule="exact"/>
        <w:jc w:val="right"/>
        <w:rPr>
          <w:rFonts w:hint="eastAsia" w:ascii="微软雅黑" w:hAnsi="微软雅黑" w:cs="微软雅黑"/>
          <w:szCs w:val="21"/>
        </w:rPr>
      </w:pPr>
      <w:r>
        <w:rPr>
          <w:rFonts w:hint="eastAsia" w:ascii="微软雅黑" w:hAnsi="微软雅黑" w:cs="微软雅黑"/>
          <w:szCs w:val="21"/>
        </w:rPr>
        <w:t>2021年</w:t>
      </w:r>
      <w:r>
        <w:rPr>
          <w:rFonts w:hint="eastAsia" w:ascii="微软雅黑" w:hAnsi="微软雅黑" w:cs="微软雅黑"/>
          <w:szCs w:val="21"/>
          <w:lang w:val="en-US" w:eastAsia="zh-CN"/>
        </w:rPr>
        <w:t>12</w:t>
      </w:r>
      <w:r>
        <w:rPr>
          <w:rFonts w:hint="eastAsia" w:ascii="微软雅黑" w:hAnsi="微软雅黑" w:cs="微软雅黑"/>
          <w:szCs w:val="21"/>
        </w:rPr>
        <w:t>月</w:t>
      </w:r>
      <w:r>
        <w:rPr>
          <w:rFonts w:hint="eastAsia" w:ascii="微软雅黑" w:hAnsi="微软雅黑" w:cs="微软雅黑"/>
          <w:szCs w:val="21"/>
          <w:lang w:val="en-US" w:eastAsia="zh-CN"/>
        </w:rPr>
        <w:t>30</w:t>
      </w:r>
      <w:r>
        <w:rPr>
          <w:rFonts w:hint="eastAsia" w:ascii="微软雅黑" w:hAnsi="微软雅黑" w:cs="微软雅黑"/>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9163E"/>
    <w:multiLevelType w:val="singleLevel"/>
    <w:tmpl w:val="A919163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84AFE"/>
    <w:rsid w:val="13BB70F3"/>
    <w:rsid w:val="24F20BFA"/>
    <w:rsid w:val="29371EDD"/>
    <w:rsid w:val="38523D2F"/>
    <w:rsid w:val="3D7E31E1"/>
    <w:rsid w:val="40DC5808"/>
    <w:rsid w:val="48DC452F"/>
    <w:rsid w:val="4B8E6C20"/>
    <w:rsid w:val="6B58309C"/>
    <w:rsid w:val="6C774E88"/>
    <w:rsid w:val="73F355E2"/>
    <w:rsid w:val="7BD302C6"/>
    <w:rsid w:val="7EB8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5">
    <w:name w:val="heading 1"/>
    <w:basedOn w:val="1"/>
    <w:next w:val="1"/>
    <w:qFormat/>
    <w:uiPriority w:val="0"/>
    <w:pPr>
      <w:keepNext/>
      <w:keepLines/>
      <w:spacing w:before="340" w:beforeLines="0" w:after="330" w:afterLines="0" w:line="240" w:lineRule="auto"/>
      <w:jc w:val="center"/>
      <w:outlineLvl w:val="0"/>
    </w:pPr>
    <w:rPr>
      <w:rFonts w:ascii="Calibri" w:hAnsi="Calibri" w:eastAsia="微软雅黑"/>
      <w:b/>
      <w:bCs/>
      <w:kern w:val="44"/>
      <w:sz w:val="32"/>
      <w:szCs w:val="44"/>
    </w:rPr>
  </w:style>
  <w:style w:type="paragraph" w:styleId="6">
    <w:name w:val="heading 2"/>
    <w:basedOn w:val="1"/>
    <w:next w:val="1"/>
    <w:qFormat/>
    <w:uiPriority w:val="0"/>
    <w:pPr>
      <w:keepNext/>
      <w:keepLines/>
      <w:spacing w:before="260" w:beforeLines="0" w:after="260" w:afterLines="0" w:line="240" w:lineRule="auto"/>
      <w:jc w:val="center"/>
      <w:outlineLvl w:val="1"/>
    </w:pPr>
    <w:rPr>
      <w:rFonts w:ascii="Cambria" w:hAnsi="Cambria" w:eastAsia="微软雅黑" w:cs="Times New Roman"/>
      <w:b/>
      <w:bCs/>
      <w:sz w:val="28"/>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snapToGrid w:val="0"/>
      <w:spacing w:line="440" w:lineRule="exact"/>
      <w:ind w:firstLine="420" w:firstLineChars="200"/>
      <w:jc w:val="both"/>
      <w:textAlignment w:val="baseline"/>
    </w:pPr>
    <w:rPr>
      <w:rFonts w:ascii="Calibri" w:hAnsi="Calibri" w:eastAsia="宋体"/>
      <w:kern w:val="2"/>
      <w:sz w:val="21"/>
      <w:szCs w:val="21"/>
      <w:lang w:val="en-US" w:eastAsia="zh-CN" w:bidi="ar-SA"/>
    </w:rPr>
  </w:style>
  <w:style w:type="paragraph" w:customStyle="1" w:styleId="3">
    <w:name w:val="BodyTextIndent"/>
    <w:basedOn w:val="1"/>
    <w:next w:val="4"/>
    <w:qFormat/>
    <w:uiPriority w:val="0"/>
    <w:pPr>
      <w:snapToGrid w:val="0"/>
      <w:spacing w:line="440" w:lineRule="exact"/>
      <w:ind w:firstLine="403" w:firstLineChars="192"/>
      <w:jc w:val="both"/>
      <w:textAlignment w:val="baseline"/>
    </w:pPr>
    <w:rPr>
      <w:rFonts w:ascii="宋体" w:hAnsi="宋体" w:eastAsia="宋体"/>
      <w:kern w:val="2"/>
      <w:sz w:val="21"/>
      <w:szCs w:val="21"/>
      <w:lang w:val="en-US" w:eastAsia="zh-CN" w:bidi="ar-SA"/>
    </w:rPr>
  </w:style>
  <w:style w:type="paragraph" w:customStyle="1" w:styleId="4">
    <w:name w:val="EnvelopeReturn"/>
    <w:basedOn w:val="1"/>
    <w:qFormat/>
    <w:uiPriority w:val="0"/>
    <w:pPr>
      <w:snapToGrid w:val="0"/>
      <w:jc w:val="both"/>
      <w:textAlignment w:val="baseline"/>
    </w:pPr>
    <w:rPr>
      <w:rFonts w:ascii="Arial" w:hAnsi="Arial" w:eastAsia="微软雅黑"/>
      <w:kern w:val="2"/>
      <w:sz w:val="21"/>
      <w:szCs w:val="22"/>
      <w:lang w:val="en-US" w:eastAsia="zh-CN" w:bidi="ar-SA"/>
    </w:rPr>
  </w:style>
  <w:style w:type="paragraph" w:styleId="7">
    <w:name w:val="toc 7"/>
    <w:basedOn w:val="1"/>
    <w:next w:val="1"/>
    <w:uiPriority w:val="0"/>
    <w:pPr>
      <w:spacing w:line="580" w:lineRule="exact"/>
      <w:ind w:left="2520" w:leftChars="1200"/>
    </w:pPr>
    <w:rPr>
      <w:rFonts w:ascii="Times New Roman" w:hAnsi="Times New Roman" w:eastAsia="微软雅黑"/>
      <w:sz w:val="24"/>
      <w:szCs w:val="24"/>
    </w:rPr>
  </w:style>
  <w:style w:type="paragraph" w:styleId="8">
    <w:name w:val="toc 5"/>
    <w:basedOn w:val="1"/>
    <w:next w:val="1"/>
    <w:uiPriority w:val="0"/>
    <w:pPr>
      <w:spacing w:line="580" w:lineRule="exact"/>
      <w:ind w:left="1680" w:leftChars="800"/>
    </w:pPr>
    <w:rPr>
      <w:rFonts w:ascii="Times New Roman" w:hAnsi="Times New Roman" w:eastAsia="微软雅黑"/>
      <w:sz w:val="24"/>
      <w:szCs w:val="24"/>
    </w:rPr>
  </w:style>
  <w:style w:type="paragraph" w:styleId="9">
    <w:name w:val="toc 3"/>
    <w:basedOn w:val="1"/>
    <w:next w:val="1"/>
    <w:uiPriority w:val="0"/>
    <w:pPr>
      <w:spacing w:line="580" w:lineRule="exact"/>
      <w:ind w:left="840" w:leftChars="400"/>
    </w:pPr>
    <w:rPr>
      <w:rFonts w:ascii="Calibri" w:hAnsi="Calibri" w:eastAsia="微软雅黑" w:cs="Times New Roman"/>
      <w:sz w:val="24"/>
      <w:szCs w:val="22"/>
    </w:rPr>
  </w:style>
  <w:style w:type="paragraph" w:styleId="10">
    <w:name w:val="toc 8"/>
    <w:basedOn w:val="1"/>
    <w:next w:val="1"/>
    <w:uiPriority w:val="0"/>
    <w:pPr>
      <w:spacing w:line="580" w:lineRule="exact"/>
      <w:ind w:left="2940" w:leftChars="1400"/>
    </w:pPr>
    <w:rPr>
      <w:rFonts w:ascii="Times New Roman" w:hAnsi="Times New Roman" w:eastAsia="微软雅黑"/>
      <w:sz w:val="24"/>
      <w:szCs w:val="24"/>
    </w:rPr>
  </w:style>
  <w:style w:type="paragraph" w:styleId="11">
    <w:name w:val="toc 1"/>
    <w:basedOn w:val="1"/>
    <w:next w:val="1"/>
    <w:uiPriority w:val="0"/>
    <w:pPr>
      <w:spacing w:line="580" w:lineRule="exact"/>
    </w:pPr>
    <w:rPr>
      <w:rFonts w:ascii="Calibri" w:hAnsi="Calibri" w:eastAsia="微软雅黑" w:cs="Times New Roman"/>
      <w:sz w:val="24"/>
      <w:szCs w:val="22"/>
    </w:rPr>
  </w:style>
  <w:style w:type="paragraph" w:styleId="12">
    <w:name w:val="toc 4"/>
    <w:basedOn w:val="1"/>
    <w:next w:val="1"/>
    <w:uiPriority w:val="0"/>
    <w:pPr>
      <w:spacing w:line="580" w:lineRule="exact"/>
      <w:ind w:left="1260" w:leftChars="600"/>
    </w:pPr>
    <w:rPr>
      <w:rFonts w:ascii="Times New Roman" w:hAnsi="Times New Roman" w:eastAsia="微软雅黑"/>
      <w:sz w:val="24"/>
      <w:szCs w:val="24"/>
    </w:rPr>
  </w:style>
  <w:style w:type="paragraph" w:styleId="13">
    <w:name w:val="toc 6"/>
    <w:basedOn w:val="1"/>
    <w:next w:val="1"/>
    <w:uiPriority w:val="0"/>
    <w:pPr>
      <w:spacing w:line="580" w:lineRule="exact"/>
      <w:ind w:left="2100" w:leftChars="1000"/>
    </w:pPr>
    <w:rPr>
      <w:rFonts w:ascii="Times New Roman" w:hAnsi="Times New Roman" w:eastAsia="微软雅黑"/>
      <w:sz w:val="24"/>
      <w:szCs w:val="24"/>
    </w:rPr>
  </w:style>
  <w:style w:type="paragraph" w:styleId="14">
    <w:name w:val="toc 2"/>
    <w:basedOn w:val="1"/>
    <w:next w:val="1"/>
    <w:uiPriority w:val="0"/>
    <w:pPr>
      <w:spacing w:line="580" w:lineRule="exact"/>
      <w:ind w:left="420" w:leftChars="200"/>
    </w:pPr>
    <w:rPr>
      <w:rFonts w:ascii="Calibri" w:hAnsi="Calibri" w:eastAsia="微软雅黑" w:cs="Times New Roman"/>
      <w:sz w:val="24"/>
      <w:szCs w:val="22"/>
    </w:rPr>
  </w:style>
  <w:style w:type="paragraph" w:styleId="15">
    <w:name w:val="toc 9"/>
    <w:basedOn w:val="1"/>
    <w:next w:val="1"/>
    <w:uiPriority w:val="0"/>
    <w:pPr>
      <w:spacing w:line="580" w:lineRule="exact"/>
      <w:ind w:left="3360" w:leftChars="1600"/>
    </w:pPr>
    <w:rPr>
      <w:rFonts w:ascii="Times New Roman" w:hAnsi="Times New Roman" w:eastAsia="微软雅黑"/>
      <w:sz w:val="24"/>
      <w:szCs w:val="24"/>
    </w:rPr>
  </w:style>
  <w:style w:type="paragraph" w:styleId="16">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9">
    <w:name w:val="annotation reference"/>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2021-12-29T02:20:00Z</dcterms:created>
  <dc:creator>XuXue</dc:creator>
  <cp:lastModifiedBy>XuXue</cp:lastModifiedBy>
  <dcterms:modified xsi:type="dcterms:W3CDTF">2021-12-29T02:24:22Z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