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47" w:rsidRDefault="008E6BE3" w:rsidP="004F0A82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523127445"/>
      <w:bookmarkStart w:id="1" w:name="_Toc16938516"/>
      <w:bookmarkStart w:id="2" w:name="_Toc513029200"/>
      <w:bookmarkStart w:id="3" w:name="_Toc20823272"/>
      <w:bookmarkStart w:id="4" w:name="_Toc47975720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040F47" w:rsidRDefault="00040F47"/>
    <w:p w:rsidR="00040F47" w:rsidRDefault="008E6BE3">
      <w:pPr>
        <w:pStyle w:val="af"/>
        <w:ind w:firstLine="0"/>
        <w:rPr>
          <w:rFonts w:asciiTheme="minorEastAsia" w:eastAsiaTheme="minorEastAsia" w:hAnsiTheme="minorEastAsia"/>
          <w:b/>
          <w:bCs/>
          <w:sz w:val="30"/>
          <w:szCs w:val="30"/>
        </w:rPr>
      </w:pPr>
      <w:bookmarkStart w:id="6" w:name="_Toc513029242"/>
      <w:bookmarkStart w:id="7" w:name="_Toc120614211"/>
      <w:bookmarkStart w:id="8" w:name="_Toc479757207"/>
      <w:bookmarkStart w:id="9" w:name="_Toc16938558"/>
      <w:bookmarkStart w:id="10" w:name="_Toc120614221"/>
      <w:bookmarkStart w:id="11" w:name="_Toc20823314"/>
      <w:bookmarkStart w:id="12" w:name="_Toc444669970"/>
      <w:bookmarkStart w:id="13" w:name="OLE_LINK1"/>
      <w:bookmarkStart w:id="14" w:name="OLE_LINK2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b/>
          <w:sz w:val="30"/>
          <w:szCs w:val="30"/>
        </w:rPr>
        <w:t xml:space="preserve">   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南京医科大学</w:t>
      </w:r>
      <w:proofErr w:type="gramStart"/>
      <w:r>
        <w:rPr>
          <w:rFonts w:asciiTheme="minorEastAsia" w:eastAsiaTheme="minorEastAsia" w:hAnsiTheme="minorEastAsia" w:hint="eastAsia"/>
          <w:bCs/>
          <w:sz w:val="28"/>
          <w:szCs w:val="28"/>
        </w:rPr>
        <w:t>就</w:t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公卫楼国家</w:t>
      </w:r>
      <w:proofErr w:type="gramEnd"/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出生队列生物样本库LED信息发布系统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购置</w:t>
      </w:r>
      <w:r>
        <w:rPr>
          <w:rFonts w:asciiTheme="minorEastAsia" w:eastAsiaTheme="minorEastAsia" w:hAnsiTheme="minorEastAsia" w:hint="eastAsia"/>
          <w:sz w:val="28"/>
          <w:szCs w:val="28"/>
        </w:rPr>
        <w:t>项目公开招标，相应资金已落实，欢迎符合招标公告资质要求的供应商前来投标。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040F47" w:rsidRDefault="008E6BE3">
      <w:pPr>
        <w:spacing w:beforeLines="50" w:before="120" w:afterLines="50" w:after="120" w:line="500" w:lineRule="exact"/>
        <w:ind w:leftChars="254" w:left="4759" w:hangingChars="1500" w:hanging="420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公卫楼国家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出生队列生物样本库LED信息发布系统购置项目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（二）采购项目编号：NJMUZB3012021017 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:￥12万元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2020年度审计报告（至少包括资产负债表、利润表和审计单位的营业执照，提供相关复印件并加盖公章），或银行出具的针对本项目的资信证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明，或财政部门认可的专业担保机构出具的投标担保函；（法人或者其他组织成立未满一年的可以不提供）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五、获取招标文件的信息及方式</w:t>
      </w:r>
    </w:p>
    <w:p w:rsidR="00040F47" w:rsidRDefault="008E6BE3">
      <w:pPr>
        <w:pStyle w:val="20"/>
        <w:ind w:leftChars="227" w:left="499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1、公告期限：自采购公告发布之日起五个工作日，自2021年6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月10日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年6月16日。</w:t>
      </w:r>
    </w:p>
    <w:p w:rsidR="00040F47" w:rsidRDefault="008E6BE3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>
          <w:rPr>
            <w:rStyle w:val="ae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填写，因未填写完整信息导致投标当天不能正常进校，后果自负）。</w:t>
      </w:r>
    </w:p>
    <w:p w:rsidR="00040F47" w:rsidRDefault="008E6BE3">
      <w:r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273040" cy="2667000"/>
            <wp:effectExtent l="1905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F47" w:rsidRDefault="008E6BE3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:rsidR="00040F47" w:rsidRDefault="008E6BE3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联系人：韩老师               联系电话：025-86869052</w:t>
      </w:r>
    </w:p>
    <w:p w:rsidR="00040F47" w:rsidRDefault="008E6BE3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040F47" w:rsidRDefault="008E6BE3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01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040F47" w:rsidRDefault="008E6BE3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7月01日上午09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040F47" w:rsidRDefault="008E6BE3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040F47" w:rsidRDefault="008E6BE3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040F47" w:rsidRDefault="008E6BE3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月01日上午09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040F47" w:rsidRDefault="008E6BE3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040F47" w:rsidRDefault="008E6BE3">
      <w:pPr>
        <w:numPr>
          <w:ilvl w:val="0"/>
          <w:numId w:val="2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040F47" w:rsidRDefault="008E6BE3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040F47" w:rsidRDefault="008E6BE3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040F47" w:rsidRDefault="008E6BE3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040F47" w:rsidRDefault="008E6BE3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项目需求方联系人：周老师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电话：18262639020</w:t>
      </w:r>
    </w:p>
    <w:p w:rsidR="00040F47" w:rsidRDefault="008E6BE3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邮政编码：210000</w:t>
      </w:r>
    </w:p>
    <w:p w:rsidR="00040F47" w:rsidRDefault="008E6BE3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地址：南京医科大学江宁校区明达楼108室（南京市江宁区龙眠大道101号）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十、其他</w:t>
      </w:r>
    </w:p>
    <w:p w:rsidR="00040F47" w:rsidRDefault="008E6BE3">
      <w:pPr>
        <w:spacing w:line="324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15" w:name="_Toc52393134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、本次招标安排现场勘查,具体信息如下：</w:t>
      </w:r>
    </w:p>
    <w:p w:rsidR="00040F47" w:rsidRDefault="008E6BE3">
      <w:pPr>
        <w:spacing w:line="324" w:lineRule="auto"/>
        <w:ind w:firstLineChars="300" w:firstLine="84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2021年6月17日9：30（过时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候）集合，地点：南京医科大学公共卫生学院负一楼（南京市江宁区龙眠大道101号）。请报名的潜在供应商按时参加集中勘查现场。请务必对项目现场和周围环境进行仔细认真地查勘，在随后的投标中，对现场资料和数据所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的推论、解释和结论及由此造成的后果由供应商负责。勘查现场时，应携带企业法人营业执照复印件（加盖单位公章）、法定代表人身份证或法定代表人委托书、委托代理人身份证。</w:t>
      </w:r>
      <w:r>
        <w:rPr>
          <w:rFonts w:ascii="宋体" w:eastAsia="宋体" w:hAnsi="宋体" w:hint="eastAsia"/>
          <w:b/>
          <w:bCs/>
          <w:sz w:val="28"/>
          <w:szCs w:val="28"/>
        </w:rPr>
        <w:t>（备注：现场勘察人员需要在报名时填报人员信息，如未完整系统填报导致不能正常勘察的，后果自负）</w:t>
      </w:r>
    </w:p>
    <w:p w:rsidR="00040F47" w:rsidRDefault="008E6BE3">
      <w:pPr>
        <w:spacing w:beforeLines="50" w:before="120" w:afterLines="50" w:after="120" w:line="500" w:lineRule="exact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现场勘查联系人：周老师       联系电话：18262639020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040F47" w:rsidRDefault="008E6BE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6" w:name="_Toc25680"/>
      <w:bookmarkStart w:id="17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6"/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7"/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040F47" w:rsidRDefault="008E6BE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p w:rsidR="00040F47" w:rsidRDefault="00040F47">
      <w:pPr>
        <w:pStyle w:val="4"/>
        <w:ind w:left="1320"/>
      </w:pPr>
    </w:p>
    <w:p w:rsidR="00040F47" w:rsidRDefault="00040F47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p w:rsidR="00040F47" w:rsidRDefault="00040F47">
      <w:bookmarkStart w:id="18" w:name="_GoBack"/>
      <w:bookmarkEnd w:id="15"/>
      <w:bookmarkEnd w:id="18"/>
    </w:p>
    <w:sectPr w:rsidR="00040F4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3E" w:rsidRDefault="008E4F3E">
      <w:pPr>
        <w:spacing w:after="0"/>
      </w:pPr>
      <w:r>
        <w:separator/>
      </w:r>
    </w:p>
  </w:endnote>
  <w:endnote w:type="continuationSeparator" w:id="0">
    <w:p w:rsidR="008E4F3E" w:rsidRDefault="008E4F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47" w:rsidRDefault="008E6BE3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:rsidR="00040F47" w:rsidRDefault="00040F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47" w:rsidRDefault="008E6BE3">
    <w:pPr>
      <w:pStyle w:val="aa"/>
      <w:framePr w:wrap="around" w:vAnchor="text" w:hAnchor="margin" w:xAlign="center" w:y="1"/>
      <w:rPr>
        <w:rStyle w:val="ad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d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4F0A82">
      <w:rPr>
        <w:rStyle w:val="ad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040F47" w:rsidRDefault="00040F47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47" w:rsidRDefault="00040F47">
    <w:pPr>
      <w:pStyle w:val="aa"/>
    </w:pPr>
  </w:p>
  <w:p w:rsidR="00040F47" w:rsidRDefault="00040F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3E" w:rsidRDefault="008E4F3E">
      <w:pPr>
        <w:spacing w:after="0"/>
      </w:pPr>
      <w:r>
        <w:separator/>
      </w:r>
    </w:p>
  </w:footnote>
  <w:footnote w:type="continuationSeparator" w:id="0">
    <w:p w:rsidR="008E4F3E" w:rsidRDefault="008E4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47" w:rsidRDefault="00040F4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1859F7"/>
    <w:multiLevelType w:val="singleLevel"/>
    <w:tmpl w:val="DD1859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D58CB"/>
    <w:rsid w:val="00003B80"/>
    <w:rsid w:val="00040F47"/>
    <w:rsid w:val="00070A96"/>
    <w:rsid w:val="000F4DB7"/>
    <w:rsid w:val="00175DB5"/>
    <w:rsid w:val="001A24A7"/>
    <w:rsid w:val="001C3923"/>
    <w:rsid w:val="001F3F90"/>
    <w:rsid w:val="00303C87"/>
    <w:rsid w:val="00321BF0"/>
    <w:rsid w:val="00324739"/>
    <w:rsid w:val="0039239C"/>
    <w:rsid w:val="004012C7"/>
    <w:rsid w:val="00454E53"/>
    <w:rsid w:val="0045556D"/>
    <w:rsid w:val="004A73F7"/>
    <w:rsid w:val="004F0A82"/>
    <w:rsid w:val="005C7912"/>
    <w:rsid w:val="00604668"/>
    <w:rsid w:val="00655556"/>
    <w:rsid w:val="006948A8"/>
    <w:rsid w:val="00776DA6"/>
    <w:rsid w:val="007B57B5"/>
    <w:rsid w:val="00836783"/>
    <w:rsid w:val="0086770F"/>
    <w:rsid w:val="008B40EC"/>
    <w:rsid w:val="008E4F3E"/>
    <w:rsid w:val="008E6BE3"/>
    <w:rsid w:val="00911ACF"/>
    <w:rsid w:val="00922D26"/>
    <w:rsid w:val="009320EE"/>
    <w:rsid w:val="00945F81"/>
    <w:rsid w:val="00983B2D"/>
    <w:rsid w:val="009C5F1C"/>
    <w:rsid w:val="009D364A"/>
    <w:rsid w:val="00A243A6"/>
    <w:rsid w:val="00A524F2"/>
    <w:rsid w:val="00AD0D80"/>
    <w:rsid w:val="00AD72BE"/>
    <w:rsid w:val="00B60517"/>
    <w:rsid w:val="00B60859"/>
    <w:rsid w:val="00B7245E"/>
    <w:rsid w:val="00C360F5"/>
    <w:rsid w:val="00CE39AB"/>
    <w:rsid w:val="00D17401"/>
    <w:rsid w:val="00D73B0E"/>
    <w:rsid w:val="00D951FC"/>
    <w:rsid w:val="00DB5F5A"/>
    <w:rsid w:val="00DE648C"/>
    <w:rsid w:val="00EA3869"/>
    <w:rsid w:val="0223740D"/>
    <w:rsid w:val="0224137D"/>
    <w:rsid w:val="0A5D58CB"/>
    <w:rsid w:val="0AFA34B1"/>
    <w:rsid w:val="0BF739FF"/>
    <w:rsid w:val="1132204E"/>
    <w:rsid w:val="12394C0C"/>
    <w:rsid w:val="1E7432F5"/>
    <w:rsid w:val="218B228B"/>
    <w:rsid w:val="23D3658F"/>
    <w:rsid w:val="26BF7970"/>
    <w:rsid w:val="32E93972"/>
    <w:rsid w:val="35122ED2"/>
    <w:rsid w:val="38666B96"/>
    <w:rsid w:val="39EC4691"/>
    <w:rsid w:val="3E82756B"/>
    <w:rsid w:val="40FB6AE6"/>
    <w:rsid w:val="46857370"/>
    <w:rsid w:val="47E83E50"/>
    <w:rsid w:val="498E0758"/>
    <w:rsid w:val="4D6C45E0"/>
    <w:rsid w:val="581B072A"/>
    <w:rsid w:val="5A6D20BA"/>
    <w:rsid w:val="5CD34113"/>
    <w:rsid w:val="64144682"/>
    <w:rsid w:val="64C21806"/>
    <w:rsid w:val="651D551B"/>
    <w:rsid w:val="67247DCC"/>
    <w:rsid w:val="678D7FD6"/>
    <w:rsid w:val="69B80B2D"/>
    <w:rsid w:val="6C332E66"/>
    <w:rsid w:val="6D0B7E1B"/>
    <w:rsid w:val="72DF16F1"/>
    <w:rsid w:val="746752A0"/>
    <w:rsid w:val="759006F8"/>
    <w:rsid w:val="79836EC5"/>
    <w:rsid w:val="7E1D116C"/>
    <w:rsid w:val="7E857134"/>
    <w:rsid w:val="7F72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DBF88C-27B6-4570-8963-A1F9B81B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Normal Indent" w:qFormat="1"/>
    <w:lsdException w:name="annotation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uiPriority="99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3">
    <w:name w:val="Normal Indent"/>
    <w:basedOn w:val="a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4">
    <w:name w:val="annotation text"/>
    <w:basedOn w:val="a"/>
    <w:uiPriority w:val="99"/>
    <w:semiHidden/>
    <w:unhideWhenUsed/>
    <w:qFormat/>
  </w:style>
  <w:style w:type="paragraph" w:styleId="a5">
    <w:name w:val="Body Text"/>
    <w:basedOn w:val="a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6">
    <w:name w:val="Body Text Indent"/>
    <w:basedOn w:val="a"/>
    <w:next w:val="a7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7">
    <w:name w:val="envelope return"/>
    <w:basedOn w:val="a"/>
    <w:qFormat/>
    <w:rPr>
      <w:rFonts w:ascii="Arial" w:hAnsi="Arial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8">
    <w:name w:val="Plain Text"/>
    <w:basedOn w:val="a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"/>
    <w:link w:val="Char"/>
    <w:semiHidden/>
    <w:unhideWhenUsed/>
    <w:qFormat/>
    <w:pPr>
      <w:spacing w:after="0"/>
    </w:pPr>
    <w:rPr>
      <w:sz w:val="18"/>
      <w:szCs w:val="18"/>
    </w:rPr>
  </w:style>
  <w:style w:type="paragraph" w:styleId="aa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c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0">
    <w:name w:val="Body Text First Indent 2"/>
    <w:basedOn w:val="a6"/>
    <w:next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paragraph" w:customStyle="1" w:styleId="af">
    <w:name w:val="普通正文"/>
    <w:basedOn w:val="a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paragraph" w:customStyle="1" w:styleId="Bodytext1">
    <w:name w:val="Body text|1"/>
    <w:basedOn w:val="a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Char1">
    <w:name w:val="Char1"/>
    <w:basedOn w:val="a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9"/>
    <w:semiHidden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364</Words>
  <Characters>2076</Characters>
  <Application>Microsoft Office Word</Application>
  <DocSecurity>0</DocSecurity>
  <Lines>17</Lines>
  <Paragraphs>4</Paragraphs>
  <ScaleCrop>false</ScaleCrop>
  <Company>china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南京医科大学（本部）(填报)</cp:lastModifiedBy>
  <cp:revision>3</cp:revision>
  <dcterms:created xsi:type="dcterms:W3CDTF">2021-06-10T10:05:00Z</dcterms:created>
  <dcterms:modified xsi:type="dcterms:W3CDTF">2021-06-10T10:55:00Z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8042EC6C50924142B288E76A4BFA091F</vt:lpwstr>
  </property>
</Properties>
</file>