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微软雅黑" w:hAnsi="微软雅黑" w:eastAsia="微软雅黑" w:cs="微软雅黑"/>
          <w:sz w:val="28"/>
          <w:szCs w:val="28"/>
          <w:highlight w:val="none"/>
          <w:u w:val="none"/>
        </w:rPr>
      </w:pPr>
      <w:bookmarkStart w:id="0" w:name="_Toc28359042"/>
      <w:bookmarkStart w:id="1" w:name="_Toc35393832"/>
      <w:r>
        <w:rPr>
          <w:rFonts w:hint="eastAsia" w:ascii="微软雅黑" w:hAnsi="微软雅黑" w:eastAsia="微软雅黑" w:cs="微软雅黑"/>
          <w:sz w:val="28"/>
          <w:szCs w:val="28"/>
          <w:highlight w:val="none"/>
          <w:u w:val="none"/>
        </w:rPr>
        <w:t>南京医科大学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u w:val="none"/>
          <w:lang w:eastAsia="zh-CN"/>
        </w:rPr>
        <w:t>磁共振成像原理虚拟仿真软件二期建设项目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u w:val="none"/>
        </w:rPr>
        <w:t>单一来源采购公示</w:t>
      </w:r>
      <w:bookmarkEnd w:id="0"/>
      <w:bookmarkEnd w:id="1"/>
    </w:p>
    <w:p>
      <w:p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一、项目信息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采购人：南京医科大学</w:t>
      </w:r>
      <w:bookmarkStart w:id="2" w:name="_GoBack"/>
      <w:bookmarkEnd w:id="2"/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项目名称：南京医科大学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磁共振成像原理虚拟仿真软件二期建设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拟采购的货物或服务的说明：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本次项目需要进行该软件扩展性功能的开发，增加配套的仿真知识内容，包括进动、氢核、原子选择、人体断层体素分割、氢核自旋、IR序列、SE序列等原理知识三维表达；磁共振成像综合设计性试验开发制作；新增旋转磁场、信号获取等仿真模块。此外，将宏观场景与医学应用仿真整合、增加引导内容剧情、增强操作体验感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拟采购的货物或服务的预算金额：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人民币贰拾贰万圆整（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¥22万元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）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采用单一来源采购方式的原因及说明：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本项目为一期建设项目的延续，是对原软件扩展性功能的开发，原开发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能够高效、有针对性的进行升级功能的开发，具有很好的延续性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。二期项目需与原系统进行兼容和数据交换，实现数据共享，原开发单位能更快速进入开发，构建新系统功能。项目要求的交付时间较紧迫，工作量较多。鉴于以上原因，建议由原开发单位承接本项目。</w:t>
      </w:r>
    </w:p>
    <w:p>
      <w:p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二、拟定供应商信息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名称：南京钟山虚拟现实技术研究院有限公司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地址：南京市秦淮区永智路10号3幢6层</w:t>
      </w:r>
    </w:p>
    <w:p>
      <w:p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三、公示期限</w:t>
      </w:r>
    </w:p>
    <w:p>
      <w:pPr>
        <w:pStyle w:val="10"/>
        <w:ind w:left="-10" w:leftChars="-5" w:firstLine="560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日至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日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其他补充事宜：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论证人员名单如下：</w:t>
      </w:r>
    </w:p>
    <w:tbl>
      <w:tblPr>
        <w:tblStyle w:val="8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85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姓 名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</w:rPr>
              <w:t>单 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于长彬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南京市秦淮区月牙湖街道总工会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冯中华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水利部交通运输部国家能源局南京水利科学研究院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樊龙华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南京市博物总馆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u w:val="none"/>
                <w:lang w:val="en-US" w:eastAsia="zh-CN"/>
              </w:rPr>
              <w:t>高工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五、联系方式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1.采购人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联 系 人：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南京医科大学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联系地址：南京市江宁区龙眠大道101号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.采购代理机构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联 系 人：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江苏省华采招标有限公司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联系地址：南京市建邺区嘉陵江东街8号新城科技园综合体B3栋16层</w:t>
      </w:r>
    </w:p>
    <w:p>
      <w:pPr>
        <w:ind w:firstLine="484" w:firstLineChars="202"/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eastAsia="zh-CN"/>
        </w:rPr>
        <w:t>徐工025-8360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none"/>
          <w:lang w:val="en-US" w:eastAsia="zh-CN"/>
        </w:rPr>
        <w:t>3368</w:t>
      </w:r>
    </w:p>
    <w:p>
      <w:pPr>
        <w:rPr>
          <w:rFonts w:hint="eastAsia"/>
          <w:highlight w:val="none"/>
          <w:u w:val="none"/>
          <w:lang w:eastAsia="zh-CN"/>
        </w:rPr>
      </w:pPr>
      <w:r>
        <w:drawing>
          <wp:inline distT="0" distB="0" distL="114300" distR="114300">
            <wp:extent cx="6764020" cy="9411970"/>
            <wp:effectExtent l="0" t="0" r="17780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941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  <w:u w:val="none"/>
          <w:lang w:eastAsia="zh-CN"/>
        </w:rPr>
        <w:br w:type="page"/>
      </w:r>
    </w:p>
    <w:p>
      <w:pPr>
        <w:rPr>
          <w:rFonts w:hint="eastAsia"/>
          <w:highlight w:val="none"/>
          <w:u w:val="none"/>
          <w:lang w:eastAsia="zh-CN"/>
        </w:rPr>
      </w:pPr>
      <w:r>
        <w:drawing>
          <wp:inline distT="0" distB="0" distL="114300" distR="114300">
            <wp:extent cx="6732905" cy="9613900"/>
            <wp:effectExtent l="0" t="0" r="10795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96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  <w:u w:val="none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rPr>
          <w:rFonts w:hint="eastAsia"/>
          <w:highlight w:val="none"/>
          <w:u w:val="none"/>
          <w:lang w:eastAsia="zh-CN"/>
        </w:rPr>
      </w:pPr>
      <w:r>
        <w:drawing>
          <wp:inline distT="0" distB="0" distL="114300" distR="114300">
            <wp:extent cx="6689725" cy="9638030"/>
            <wp:effectExtent l="0" t="0" r="15875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963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CA5F29"/>
    <w:multiLevelType w:val="singleLevel"/>
    <w:tmpl w:val="E9CA5F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2148"/>
    <w:rsid w:val="018F348A"/>
    <w:rsid w:val="03C12580"/>
    <w:rsid w:val="055C1117"/>
    <w:rsid w:val="0C0D62B6"/>
    <w:rsid w:val="0CD90F10"/>
    <w:rsid w:val="0E1D3173"/>
    <w:rsid w:val="0F233B66"/>
    <w:rsid w:val="0F963884"/>
    <w:rsid w:val="134845BC"/>
    <w:rsid w:val="13B742CC"/>
    <w:rsid w:val="13EC16A0"/>
    <w:rsid w:val="159051FA"/>
    <w:rsid w:val="16C83022"/>
    <w:rsid w:val="172736EF"/>
    <w:rsid w:val="183E018B"/>
    <w:rsid w:val="188E66DE"/>
    <w:rsid w:val="19CB6305"/>
    <w:rsid w:val="1AC00042"/>
    <w:rsid w:val="1ADC5170"/>
    <w:rsid w:val="1D3A7C56"/>
    <w:rsid w:val="1D6A55FD"/>
    <w:rsid w:val="1E002E5A"/>
    <w:rsid w:val="22567D1A"/>
    <w:rsid w:val="22DB685F"/>
    <w:rsid w:val="26A773F7"/>
    <w:rsid w:val="2B0A4248"/>
    <w:rsid w:val="31A32DA5"/>
    <w:rsid w:val="342B0469"/>
    <w:rsid w:val="35B4752A"/>
    <w:rsid w:val="3784566E"/>
    <w:rsid w:val="38D07BDC"/>
    <w:rsid w:val="3A9127A9"/>
    <w:rsid w:val="3AEB0650"/>
    <w:rsid w:val="3C686C37"/>
    <w:rsid w:val="3D4B03BF"/>
    <w:rsid w:val="40EE3E42"/>
    <w:rsid w:val="415427C6"/>
    <w:rsid w:val="44ED723E"/>
    <w:rsid w:val="4BA044C6"/>
    <w:rsid w:val="4BFF1C52"/>
    <w:rsid w:val="4D8A4293"/>
    <w:rsid w:val="4E88219F"/>
    <w:rsid w:val="51B84AE3"/>
    <w:rsid w:val="55B70425"/>
    <w:rsid w:val="55BA0B0B"/>
    <w:rsid w:val="58DD49E4"/>
    <w:rsid w:val="5BAF4C39"/>
    <w:rsid w:val="5F5A02AA"/>
    <w:rsid w:val="5FA13918"/>
    <w:rsid w:val="5FFC5821"/>
    <w:rsid w:val="63532F7A"/>
    <w:rsid w:val="64A97549"/>
    <w:rsid w:val="65142148"/>
    <w:rsid w:val="695127D7"/>
    <w:rsid w:val="6C167BE5"/>
    <w:rsid w:val="6CAB4C75"/>
    <w:rsid w:val="6CD10796"/>
    <w:rsid w:val="71117BFE"/>
    <w:rsid w:val="714F19F1"/>
    <w:rsid w:val="74B05085"/>
    <w:rsid w:val="74C46C56"/>
    <w:rsid w:val="75334964"/>
    <w:rsid w:val="755E731D"/>
    <w:rsid w:val="7C187B67"/>
    <w:rsid w:val="7C334264"/>
    <w:rsid w:val="7CCA14C5"/>
    <w:rsid w:val="7F7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r-core-btn-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2020-07-02T07:49:00Z</dcterms:created>
  <dc:creator>Administrator</dc:creator>
  <cp:lastModifiedBy>XuXue</cp:lastModifiedBy>
  <dcterms:modified xsi:type="dcterms:W3CDTF">2021-11-11T06:00:55Z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