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rPr>
      </w:pPr>
      <w:r>
        <w:rPr>
          <w:rFonts w:hint="eastAsia"/>
          <w:b/>
          <w:bCs/>
          <w:sz w:val="32"/>
        </w:rPr>
        <w:t>项目名称：</w:t>
      </w:r>
      <w:r>
        <w:rPr>
          <w:rFonts w:hint="eastAsia"/>
          <w:b/>
          <w:sz w:val="32"/>
          <w:szCs w:val="32"/>
        </w:rPr>
        <w:t>流式图像计数仪</w:t>
      </w:r>
      <w:r>
        <w:rPr>
          <w:rFonts w:hint="eastAsia" w:ascii="宋体" w:hAnsi="宋体" w:cs="宋体"/>
          <w:b/>
          <w:kern w:val="1"/>
          <w:sz w:val="32"/>
          <w:szCs w:val="32"/>
        </w:rPr>
        <w:t>购置</w:t>
      </w:r>
      <w:r>
        <w:rPr>
          <w:rFonts w:hint="eastAsia"/>
          <w:b/>
          <w:bCs/>
          <w:sz w:val="32"/>
          <w:szCs w:val="32"/>
        </w:rPr>
        <w:t>项目</w:t>
      </w:r>
    </w:p>
    <w:p>
      <w:pPr>
        <w:pStyle w:val="26"/>
        <w:ind w:firstLine="0"/>
        <w:jc w:val="center"/>
        <w:rPr>
          <w:rFonts w:hint="eastAsia" w:eastAsia="宋体"/>
          <w:b/>
          <w:bCs/>
          <w:sz w:val="32"/>
          <w:highlight w:val="yellow"/>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1129a</w:t>
      </w:r>
      <w:r>
        <w:rPr>
          <w:rFonts w:hint="eastAsia"/>
          <w:b/>
          <w:bCs/>
          <w:sz w:val="32"/>
          <w:highlight w:val="none"/>
        </w:rPr>
        <w:t>-</w:t>
      </w:r>
      <w:r>
        <w:rPr>
          <w:rFonts w:hint="eastAsia"/>
          <w:b/>
          <w:bCs/>
          <w:sz w:val="32"/>
          <w:highlight w:val="none"/>
          <w:lang w:val="en-US" w:eastAsia="zh-CN"/>
        </w:rPr>
        <w:t>2</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流式图像计数仪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（一）采购项目名称：流式图像计数仪购置项目</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njmu-201811</w:t>
      </w:r>
      <w:r>
        <w:rPr>
          <w:rFonts w:hint="eastAsia" w:asciiTheme="minorEastAsia" w:hAnsiTheme="minorEastAsia" w:eastAsiaTheme="minorEastAsia"/>
          <w:sz w:val="28"/>
          <w:szCs w:val="28"/>
          <w:highlight w:val="none"/>
          <w:lang w:val="en-US" w:eastAsia="zh-CN"/>
        </w:rPr>
        <w:t>29a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2</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xml:space="preserve">: 9万元                                               </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日上午9:15前（北京时间）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日上午9:15（北京时</w:t>
      </w:r>
      <w:r>
        <w:rPr>
          <w:rFonts w:hint="eastAsia" w:asciiTheme="minorEastAsia" w:hAnsiTheme="minorEastAsia" w:eastAsiaTheme="minorEastAsia"/>
          <w:sz w:val="24"/>
          <w:szCs w:val="24"/>
        </w:rPr>
        <w:t>间）</w:t>
      </w:r>
      <w:bookmarkStart w:id="180" w:name="_GoBack"/>
      <w:bookmarkEnd w:id="180"/>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    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项目需求方联系人：徐</w:t>
      </w:r>
      <w:r>
        <w:rPr>
          <w:rFonts w:hint="eastAsia" w:ascii="宋体" w:hAnsi="宋体" w:eastAsia="宋体" w:cs="Times New Roman"/>
          <w:sz w:val="24"/>
          <w:szCs w:val="24"/>
        </w:rPr>
        <w:t>老师</w:t>
      </w:r>
      <w:r>
        <w:rPr>
          <w:rFonts w:hint="eastAsia" w:asciiTheme="minorEastAsia" w:hAnsiTheme="minorEastAsia" w:eastAsiaTheme="minorEastAsia"/>
          <w:sz w:val="24"/>
          <w:szCs w:val="24"/>
        </w:rPr>
        <w:t xml:space="preserve">           电话：025-86869359</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地址：南京医科大学江宁校区明达楼108室（南京市江宁区龙眠大道101号） </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20614215"/>
      <w:bookmarkStart w:id="42" w:name="_Toc20823281"/>
      <w:bookmarkStart w:id="43" w:name="_Toc513029209"/>
      <w:bookmarkStart w:id="44" w:name="_Toc1693852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 xml:space="preserve"> 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20823284"/>
      <w:bookmarkStart w:id="55" w:name="_Toc462564071"/>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 详细阐述所投货物的主要组成部分、功能设计、实现思路及关键技术；</w:t>
      </w:r>
    </w:p>
    <w:p>
      <w:pPr>
        <w:pStyle w:val="26"/>
        <w:rPr>
          <w:rFonts w:cs="宋体"/>
          <w:sz w:val="28"/>
          <w:szCs w:val="28"/>
          <w:lang w:val="zh-CN"/>
        </w:rPr>
      </w:pPr>
      <w:r>
        <w:rPr>
          <w:rFonts w:hint="eastAsia" w:cs="宋体"/>
          <w:sz w:val="28"/>
          <w:szCs w:val="28"/>
          <w:lang w:val="zh-CN"/>
        </w:rPr>
        <w:t>13.3 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 培训计划；</w:t>
      </w:r>
    </w:p>
    <w:p>
      <w:pPr>
        <w:pStyle w:val="26"/>
        <w:rPr>
          <w:rFonts w:cs="宋体"/>
          <w:sz w:val="28"/>
          <w:szCs w:val="28"/>
          <w:lang w:val="zh-CN"/>
        </w:rPr>
      </w:pPr>
      <w:r>
        <w:rPr>
          <w:rFonts w:hint="eastAsia" w:cs="宋体"/>
          <w:sz w:val="28"/>
          <w:szCs w:val="28"/>
          <w:lang w:val="zh-CN"/>
        </w:rPr>
        <w:t>14.4 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 xml:space="preserve"> 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 投标人在报价时不允许采用选择性报价，否则将被视为无效投标。</w:t>
      </w:r>
    </w:p>
    <w:p>
      <w:pPr>
        <w:pStyle w:val="26"/>
        <w:rPr>
          <w:bCs/>
          <w:sz w:val="28"/>
          <w:szCs w:val="28"/>
        </w:rPr>
      </w:pPr>
      <w:r>
        <w:rPr>
          <w:rFonts w:hint="eastAsia"/>
          <w:bCs/>
          <w:sz w:val="28"/>
          <w:szCs w:val="28"/>
        </w:rPr>
        <w:t>22.6 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  投标文件含有采购人不能接受的附加条件的。</w:t>
      </w:r>
    </w:p>
    <w:p>
      <w:pPr>
        <w:pStyle w:val="26"/>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 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77"/>
        <w:rPr>
          <w:rFonts w:ascii="Times New Roman" w:hAnsi="宋体" w:cs="宋体"/>
          <w:b/>
        </w:rPr>
      </w:pPr>
    </w:p>
    <w:p>
      <w:pPr>
        <w:pStyle w:val="32"/>
        <w:spacing w:line="360" w:lineRule="auto"/>
        <w:ind w:firstLine="60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1、采购标的：流式图像计数仪配置       数量：1套</w:t>
      </w:r>
    </w:p>
    <w:p>
      <w:pPr>
        <w:ind w:firstLine="700" w:firstLine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2、配置清单：</w:t>
      </w:r>
      <w:r>
        <w:rPr>
          <w:rFonts w:asciiTheme="minorEastAsia" w:hAnsiTheme="minorEastAsia" w:eastAsiaTheme="minorEastAsia"/>
          <w:sz w:val="28"/>
          <w:szCs w:val="28"/>
        </w:rPr>
        <w:t>主机一台（标配）</w:t>
      </w:r>
    </w:p>
    <w:p>
      <w:pPr>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3、技术参数：</w:t>
      </w:r>
    </w:p>
    <w:p>
      <w:pPr>
        <w:wordWrap w:val="0"/>
        <w:spacing w:line="311" w:lineRule="auto"/>
        <w:ind w:left="1399" w:leftChars="254" w:hanging="840" w:hangingChars="300"/>
        <w:rPr>
          <w:rFonts w:asciiTheme="minorEastAsia" w:hAnsiTheme="minorEastAsia" w:eastAsiaTheme="minorEastAsia"/>
          <w:bCs/>
          <w:sz w:val="28"/>
          <w:szCs w:val="28"/>
        </w:rPr>
      </w:pPr>
      <w:r>
        <w:rPr>
          <w:rFonts w:hint="eastAsia" w:asciiTheme="minorEastAsia" w:hAnsiTheme="minorEastAsia" w:eastAsiaTheme="minorEastAsia" w:cstheme="minorEastAsia"/>
          <w:color w:val="000000"/>
          <w:sz w:val="28"/>
          <w:szCs w:val="28"/>
        </w:rPr>
        <w:t>★（1）</w:t>
      </w:r>
      <w:r>
        <w:rPr>
          <w:rFonts w:asciiTheme="minorEastAsia" w:hAnsiTheme="minorEastAsia" w:eastAsiaTheme="minorEastAsia"/>
          <w:bCs/>
          <w:sz w:val="28"/>
          <w:szCs w:val="28"/>
        </w:rPr>
        <w:t>采用库尔特电阻抗+图像法原理进行计数、粒径、状态测量</w:t>
      </w:r>
    </w:p>
    <w:p>
      <w:pPr>
        <w:numPr>
          <w:ilvl w:val="0"/>
          <w:numId w:val="3"/>
        </w:numPr>
        <w:wordWrap w:val="0"/>
        <w:spacing w:line="311" w:lineRule="auto"/>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计数时间</w:t>
      </w:r>
      <w:r>
        <w:rPr>
          <w:rFonts w:hint="eastAsia" w:ascii="宋体" w:hAnsi="宋体" w:eastAsia="宋体"/>
          <w:sz w:val="28"/>
          <w:szCs w:val="28"/>
        </w:rPr>
        <w:t>≤</w:t>
      </w:r>
      <w:r>
        <w:rPr>
          <w:rFonts w:asciiTheme="minorEastAsia" w:hAnsiTheme="minorEastAsia" w:eastAsiaTheme="minorEastAsia"/>
          <w:sz w:val="28"/>
          <w:szCs w:val="28"/>
        </w:rPr>
        <w:t>40 s</w:t>
      </w:r>
    </w:p>
    <w:p>
      <w:pPr>
        <w:numPr>
          <w:ilvl w:val="0"/>
          <w:numId w:val="3"/>
        </w:numPr>
        <w:wordWrap w:val="0"/>
        <w:spacing w:line="311" w:lineRule="auto"/>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样本量</w:t>
      </w:r>
      <w:r>
        <w:rPr>
          <w:rFonts w:hint="eastAsia" w:ascii="宋体" w:hAnsi="宋体" w:eastAsia="宋体"/>
          <w:sz w:val="28"/>
          <w:szCs w:val="28"/>
        </w:rPr>
        <w:t>≤</w:t>
      </w:r>
      <w:r>
        <w:rPr>
          <w:rFonts w:asciiTheme="minorEastAsia" w:hAnsiTheme="minorEastAsia" w:eastAsiaTheme="minorEastAsia"/>
          <w:sz w:val="28"/>
          <w:szCs w:val="28"/>
        </w:rPr>
        <w:t>10 μl</w:t>
      </w:r>
    </w:p>
    <w:p>
      <w:pPr>
        <w:numPr>
          <w:ilvl w:val="0"/>
          <w:numId w:val="3"/>
        </w:numPr>
        <w:wordWrap w:val="0"/>
        <w:spacing w:line="311" w:lineRule="auto"/>
        <w:ind w:firstLine="840" w:firstLineChars="300"/>
        <w:rPr>
          <w:rFonts w:asciiTheme="minorEastAsia" w:hAnsiTheme="minorEastAsia" w:eastAsiaTheme="minorEastAsia"/>
          <w:sz w:val="28"/>
          <w:szCs w:val="28"/>
        </w:rPr>
      </w:pPr>
      <w:r>
        <w:rPr>
          <w:rFonts w:asciiTheme="minorEastAsia" w:hAnsiTheme="minorEastAsia" w:eastAsiaTheme="minorEastAsia"/>
          <w:sz w:val="28"/>
          <w:szCs w:val="28"/>
        </w:rPr>
        <w:t>粒径检测范围0.5-200 μm（可选配）</w:t>
      </w:r>
    </w:p>
    <w:p>
      <w:pPr>
        <w:wordWrap w:val="0"/>
        <w:spacing w:line="311" w:lineRule="auto"/>
        <w:ind w:firstLine="560" w:firstLineChars="200"/>
        <w:rPr>
          <w:rFonts w:asciiTheme="minorEastAsia" w:hAnsiTheme="minorEastAsia" w:eastAsiaTheme="minorEastAsia"/>
          <w:b/>
          <w:sz w:val="28"/>
          <w:szCs w:val="28"/>
        </w:rPr>
      </w:pPr>
      <w:r>
        <w:rPr>
          <w:rFonts w:hint="eastAsia" w:asciiTheme="minorEastAsia" w:hAnsiTheme="minorEastAsia" w:eastAsiaTheme="minorEastAsia" w:cstheme="minorEastAsia"/>
          <w:color w:val="000000"/>
          <w:sz w:val="28"/>
          <w:szCs w:val="28"/>
        </w:rPr>
        <w:t>★（5）</w:t>
      </w:r>
      <w:r>
        <w:rPr>
          <w:rFonts w:asciiTheme="minorEastAsia" w:hAnsiTheme="minorEastAsia" w:eastAsiaTheme="minorEastAsia"/>
          <w:bCs/>
          <w:sz w:val="28"/>
          <w:szCs w:val="28"/>
        </w:rPr>
        <w:t>检测浓度1×10^4-1×10^7 个细胞/ml</w:t>
      </w:r>
    </w:p>
    <w:p>
      <w:pPr>
        <w:wordWrap w:val="0"/>
        <w:spacing w:line="311"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asciiTheme="minorEastAsia" w:hAnsiTheme="minorEastAsia" w:eastAsiaTheme="minorEastAsia"/>
          <w:sz w:val="28"/>
          <w:szCs w:val="28"/>
        </w:rPr>
        <w:t>计数结果重复性CV≤ 5%</w:t>
      </w:r>
    </w:p>
    <w:p>
      <w:pPr>
        <w:wordWrap w:val="0"/>
        <w:spacing w:line="311"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stheme="minorEastAsia"/>
          <w:color w:val="000000"/>
          <w:sz w:val="28"/>
          <w:szCs w:val="28"/>
        </w:rPr>
        <w:t>★（7）</w:t>
      </w:r>
      <w:r>
        <w:rPr>
          <w:rFonts w:asciiTheme="minorEastAsia" w:hAnsiTheme="minorEastAsia" w:eastAsiaTheme="minorEastAsia"/>
          <w:sz w:val="28"/>
          <w:szCs w:val="28"/>
        </w:rPr>
        <w:t xml:space="preserve"> 样本无需稀释</w:t>
      </w:r>
    </w:p>
    <w:p>
      <w:pPr>
        <w:wordWrap w:val="0"/>
        <w:spacing w:line="311"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cstheme="minorEastAsia"/>
          <w:color w:val="000000"/>
          <w:sz w:val="28"/>
          <w:szCs w:val="28"/>
        </w:rPr>
        <w:t>★（8）</w:t>
      </w:r>
      <w:r>
        <w:rPr>
          <w:rFonts w:asciiTheme="minorEastAsia" w:hAnsiTheme="minorEastAsia" w:eastAsiaTheme="minorEastAsia"/>
          <w:sz w:val="28"/>
          <w:szCs w:val="28"/>
        </w:rPr>
        <w:t xml:space="preserve"> </w:t>
      </w:r>
      <w:r>
        <w:rPr>
          <w:rFonts w:asciiTheme="minorEastAsia" w:hAnsiTheme="minorEastAsia" w:eastAsiaTheme="minorEastAsia"/>
          <w:bCs/>
          <w:sz w:val="28"/>
          <w:szCs w:val="28"/>
        </w:rPr>
        <w:t>无需芯片耗材，自动清洗</w:t>
      </w:r>
    </w:p>
    <w:p>
      <w:pPr>
        <w:numPr>
          <w:ilvl w:val="0"/>
          <w:numId w:val="4"/>
        </w:numPr>
        <w:wordWrap w:val="0"/>
        <w:spacing w:line="311" w:lineRule="auto"/>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功能1 判定计数悬液的浓度</w:t>
      </w:r>
    </w:p>
    <w:p>
      <w:pPr>
        <w:wordWrap w:val="0"/>
        <w:spacing w:line="311"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功能2 判定计数悬液的活率、结团率等</w:t>
      </w:r>
    </w:p>
    <w:p>
      <w:pPr>
        <w:wordWrap w:val="0"/>
        <w:spacing w:line="311"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功能3 判定计数对象的粒径大小</w:t>
      </w:r>
    </w:p>
    <w:p>
      <w:pPr>
        <w:wordWrap w:val="0"/>
        <w:spacing w:line="311"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功能4 可进行选区分别计算</w:t>
      </w:r>
    </w:p>
    <w:p>
      <w:pPr>
        <w:wordWrap w:val="0"/>
        <w:spacing w:line="311"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功能5 数据、图像（含细胞图像）可存储及输出报告</w:t>
      </w:r>
    </w:p>
    <w:p>
      <w:pPr>
        <w:wordWrap w:val="0"/>
        <w:spacing w:line="311" w:lineRule="auto"/>
        <w:ind w:firstLine="1680" w:firstLineChars="600"/>
        <w:rPr>
          <w:rFonts w:asciiTheme="minorEastAsia" w:hAnsiTheme="minorEastAsia" w:eastAsiaTheme="minorEastAsia"/>
          <w:sz w:val="28"/>
          <w:szCs w:val="28"/>
        </w:rPr>
      </w:pPr>
      <w:r>
        <w:rPr>
          <w:rFonts w:asciiTheme="minorEastAsia" w:hAnsiTheme="minorEastAsia" w:eastAsiaTheme="minorEastAsia"/>
          <w:sz w:val="28"/>
          <w:szCs w:val="28"/>
        </w:rPr>
        <w:t>功能6 可进行稀释计算</w:t>
      </w:r>
    </w:p>
    <w:p>
      <w:pPr>
        <w:spacing w:line="0" w:lineRule="atLeast"/>
        <w:ind w:firstLine="2420" w:firstLineChars="1100"/>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41" w:leftChars="237" w:hanging="420" w:hangingChars="150"/>
        <w:rPr>
          <w:rFonts w:cs="Times New Roman" w:asciiTheme="minorEastAsia" w:hAnsiTheme="minorEastAsia" w:eastAsiaTheme="minorEastAsia"/>
          <w:kern w:val="2"/>
          <w:sz w:val="28"/>
          <w:szCs w:val="28"/>
        </w:rPr>
      </w:pPr>
      <w:bookmarkStart w:id="165" w:name="_Toc401414769"/>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直至完全熟练使用。在仪器使用集中培训以后，若买方仍有技术问题，卖方在任何时候，都应在24小时以内提供详细技术方案并予以解决。</w:t>
      </w:r>
    </w:p>
    <w:p>
      <w:pPr>
        <w:pStyle w:val="15"/>
        <w:spacing w:line="0" w:lineRule="atLeast"/>
        <w:ind w:left="941" w:leftChars="237"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保修年限：1年内免费维修、换机；维修支持：配件供应时间≥10 年；软件更新： 实时推送，免费更新】</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合同签订生效后，2周内全部设备、材料运抵现场，并安装、调试结束，验收合格，交付买方使用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cs="宋体" w:asciiTheme="minorEastAsia" w:hAnsiTheme="minorEastAsia" w:eastAsiaTheme="minorEastAsia"/>
        </w:rPr>
      </w:pPr>
      <w:r>
        <w:rPr>
          <w:rFonts w:hint="eastAsia" w:cs="宋体" w:asciiTheme="minorEastAsia" w:hAnsiTheme="minorEastAsia" w:eastAsiaTheme="minorEastAsia"/>
        </w:rPr>
        <w:t>货到后以15天为验收期限，中标价小于等于20万元的设备，验收期满或验收合格后付全款；中标价大于20万元的设备，验收期满或验收合格后支付到合同金额的90%，余10%尾款于正常使用一年后无息支付</w:t>
      </w:r>
      <w:bookmarkStart w:id="166" w:name="_Toc523931348"/>
      <w:r>
        <w:rPr>
          <w:rFonts w:hint="eastAsia" w:cs="宋体" w:asciiTheme="minorEastAsia" w:hAnsiTheme="minorEastAsia" w:eastAsiaTheme="minorEastAsia"/>
        </w:rPr>
        <w:t>。</w:t>
      </w:r>
    </w:p>
    <w:p>
      <w:pPr>
        <w:rPr>
          <w:rFonts w:cs="宋体" w:asciiTheme="minorEastAsia" w:hAnsiTheme="minorEastAsia" w:eastAsiaTheme="minorEastAsia"/>
          <w:sz w:val="28"/>
          <w:szCs w:val="28"/>
        </w:rPr>
      </w:pPr>
    </w:p>
    <w:p>
      <w:pPr>
        <w:rPr>
          <w:rFonts w:cs="宋体" w:asciiTheme="minorEastAsia" w:hAnsiTheme="minorEastAsia" w:eastAsiaTheme="minorEastAsia"/>
          <w:sz w:val="28"/>
          <w:szCs w:val="28"/>
        </w:rPr>
      </w:pPr>
    </w:p>
    <w:p>
      <w:pPr>
        <w:rPr>
          <w:rFonts w:cs="宋体" w:asciiTheme="minorEastAsia" w:hAnsiTheme="minorEastAsia" w:eastAsiaTheme="minorEastAsia"/>
          <w:sz w:val="28"/>
          <w:szCs w:val="28"/>
        </w:rPr>
      </w:pPr>
    </w:p>
    <w:p>
      <w:pPr>
        <w:rPr>
          <w:rFonts w:cs="宋体" w:asciiTheme="minorEastAsia" w:hAnsiTheme="minorEastAsia" w:eastAsiaTheme="minorEastAsia"/>
          <w:sz w:val="28"/>
          <w:szCs w:val="28"/>
        </w:rPr>
      </w:pPr>
    </w:p>
    <w:p>
      <w:pPr>
        <w:rPr>
          <w:rFonts w:cs="宋体" w:asciiTheme="minorEastAsia" w:hAnsiTheme="minorEastAsia" w:eastAsiaTheme="minorEastAsia"/>
          <w:sz w:val="28"/>
          <w:szCs w:val="28"/>
        </w:rPr>
      </w:pPr>
    </w:p>
    <w:p>
      <w:pPr>
        <w:rPr>
          <w:rFonts w:cs="宋体" w:asciiTheme="minorEastAsia" w:hAnsiTheme="minorEastAsia" w:eastAsiaTheme="minorEastAsia"/>
          <w:sz w:val="28"/>
          <w:szCs w:val="28"/>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0"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7"/>
        <w:gridCol w:w="678"/>
        <w:gridCol w:w="469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序号</w:t>
            </w:r>
          </w:p>
        </w:tc>
        <w:tc>
          <w:tcPr>
            <w:tcW w:w="23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项目</w:t>
            </w:r>
          </w:p>
        </w:tc>
        <w:tc>
          <w:tcPr>
            <w:tcW w:w="67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分值</w:t>
            </w:r>
          </w:p>
        </w:tc>
        <w:tc>
          <w:tcPr>
            <w:tcW w:w="469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827" w:hRule="atLeast"/>
          <w:jc w:val="center"/>
        </w:trPr>
        <w:tc>
          <w:tcPr>
            <w:tcW w:w="76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237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val="0"/>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价格（</w:t>
            </w:r>
            <w:r>
              <w:rPr>
                <w:rFonts w:cs="Arial" w:asciiTheme="minorEastAsia" w:hAnsiTheme="minorEastAsia" w:eastAsiaTheme="minorEastAsia"/>
                <w:bCs/>
                <w:sz w:val="24"/>
                <w:szCs w:val="24"/>
              </w:rPr>
              <w:t>40</w:t>
            </w:r>
            <w:r>
              <w:rPr>
                <w:rFonts w:hint="eastAsia" w:cs="Arial" w:asciiTheme="minorEastAsia" w:hAnsiTheme="minorEastAsia" w:eastAsiaTheme="minorEastAsia"/>
                <w:bCs/>
                <w:sz w:val="24"/>
                <w:szCs w:val="24"/>
              </w:rPr>
              <w:t>分）</w:t>
            </w:r>
          </w:p>
        </w:tc>
        <w:tc>
          <w:tcPr>
            <w:tcW w:w="678"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40</w:t>
            </w:r>
          </w:p>
        </w:tc>
        <w:tc>
          <w:tcPr>
            <w:tcW w:w="4697"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本次招标，以进入详细评审的各投标人评标价的最低值为A值，A值为价格分的满分，即40分。其他投标人的价格分统一按照以下公式计算：投标人评标价得分=（A／该投标人评标价）×40。（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411" w:hRule="atLeast"/>
          <w:jc w:val="center"/>
        </w:trPr>
        <w:tc>
          <w:tcPr>
            <w:tcW w:w="768"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2377" w:type="dxa"/>
            <w:tcBorders>
              <w:top w:val="nil"/>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投标产品对招标文件技术指标的响应情况</w:t>
            </w:r>
          </w:p>
        </w:tc>
        <w:tc>
          <w:tcPr>
            <w:tcW w:w="678" w:type="dxa"/>
            <w:tcBorders>
              <w:top w:val="nil"/>
              <w:left w:val="nil"/>
              <w:bottom w:val="single" w:color="auto" w:sz="8"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38</w:t>
            </w:r>
          </w:p>
        </w:tc>
        <w:tc>
          <w:tcPr>
            <w:tcW w:w="4697" w:type="dxa"/>
            <w:tcBorders>
              <w:top w:val="nil"/>
              <w:left w:val="nil"/>
              <w:bottom w:val="single" w:color="auto" w:sz="8" w:space="0"/>
              <w:right w:val="single" w:color="auto" w:sz="8" w:space="0"/>
            </w:tcBorders>
            <w:tcMar>
              <w:top w:w="0" w:type="dxa"/>
              <w:left w:w="108" w:type="dxa"/>
              <w:bottom w:w="0" w:type="dxa"/>
              <w:right w:w="108" w:type="dxa"/>
            </w:tcMar>
            <w:vAlign w:val="center"/>
          </w:tcPr>
          <w:p>
            <w:pPr>
              <w:pStyle w:val="32"/>
              <w:numPr>
                <w:ilvl w:val="0"/>
                <w:numId w:val="5"/>
              </w:numPr>
              <w:spacing w:line="360" w:lineRule="auto"/>
              <w:ind w:firstLineChars="0"/>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投标产品对招标文件具体需求的响应程度满足招标文件技术指标、参数要求的得32分（" ★"项的为主要指标，不满足的每项减8分；其他每有一项负偏离的减4分；负偏离超过3项的不得分）。</w:t>
            </w:r>
          </w:p>
          <w:p>
            <w:pPr>
              <w:pStyle w:val="32"/>
              <w:numPr>
                <w:ilvl w:val="0"/>
                <w:numId w:val="5"/>
              </w:numPr>
              <w:spacing w:line="360" w:lineRule="auto"/>
              <w:ind w:firstLineChars="0"/>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2377" w:type="dxa"/>
            <w:tcBorders>
              <w:top w:val="nil"/>
              <w:left w:val="nil"/>
              <w:bottom w:val="single" w:color="auto" w:sz="4"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投标产品的质量、先进性、匹配性、可靠性、稳定性等情况的评价</w:t>
            </w:r>
          </w:p>
        </w:tc>
        <w:tc>
          <w:tcPr>
            <w:tcW w:w="678" w:type="dxa"/>
            <w:tcBorders>
              <w:top w:val="nil"/>
              <w:left w:val="nil"/>
              <w:bottom w:val="single" w:color="auto" w:sz="4"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6</w:t>
            </w:r>
          </w:p>
        </w:tc>
        <w:tc>
          <w:tcPr>
            <w:tcW w:w="4697" w:type="dxa"/>
            <w:tcBorders>
              <w:top w:val="nil"/>
              <w:left w:val="nil"/>
              <w:bottom w:val="single" w:color="auto" w:sz="4"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评委根据投标产品的系列、档次、市场占有率、影响力及产品的先进性、可靠性、稳定性等方面进行综合评价，好得4-6分，较好得2-3分，一般得0-1分。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237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产品销售业绩</w:t>
            </w:r>
          </w:p>
        </w:tc>
        <w:tc>
          <w:tcPr>
            <w:tcW w:w="6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469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投标人2016年01月01日以来的类似项目业绩，每提供一个得2分，最高得6分。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360" w:lineRule="atLeast"/>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2377"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售后服务与培训</w:t>
            </w:r>
          </w:p>
        </w:tc>
        <w:tc>
          <w:tcPr>
            <w:tcW w:w="678"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10</w:t>
            </w:r>
          </w:p>
        </w:tc>
        <w:tc>
          <w:tcPr>
            <w:tcW w:w="4697" w:type="dxa"/>
            <w:tcBorders>
              <w:top w:val="single" w:color="auto" w:sz="4" w:space="0"/>
              <w:left w:val="nil"/>
              <w:bottom w:val="single" w:color="auto" w:sz="8" w:space="0"/>
              <w:right w:val="single" w:color="auto" w:sz="8" w:space="0"/>
            </w:tcBorders>
            <w:tcMar>
              <w:top w:w="0" w:type="dxa"/>
              <w:left w:w="108" w:type="dxa"/>
              <w:bottom w:w="0" w:type="dxa"/>
              <w:right w:w="108" w:type="dxa"/>
            </w:tcMar>
            <w:vAlign w:val="center"/>
          </w:tcPr>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1.产品免费质保期内的修、配、换及维护保养内容进行综合评分，得分为0-5分。</w:t>
            </w:r>
          </w:p>
          <w:p>
            <w:pP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2.免费质保期1年不得分，每多一年得2.5分，最高不超过5分。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50"/>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19</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B22D88"/>
    <w:multiLevelType w:val="singleLevel"/>
    <w:tmpl w:val="A5B22D88"/>
    <w:lvl w:ilvl="0" w:tentative="0">
      <w:start w:val="2"/>
      <w:numFmt w:val="decimal"/>
      <w:suff w:val="nothing"/>
      <w:lvlText w:val="（%1）"/>
      <w:lvlJc w:val="left"/>
    </w:lvl>
  </w:abstractNum>
  <w:abstractNum w:abstractNumId="1">
    <w:nsid w:val="25578B24"/>
    <w:multiLevelType w:val="singleLevel"/>
    <w:tmpl w:val="25578B24"/>
    <w:lvl w:ilvl="0" w:tentative="0">
      <w:start w:val="9"/>
      <w:numFmt w:val="decimal"/>
      <w:suff w:val="nothing"/>
      <w:lvlText w:val="（%1）"/>
      <w:lvlJc w:val="left"/>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4717"/>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44DA0"/>
    <w:rsid w:val="0025535E"/>
    <w:rsid w:val="00266C11"/>
    <w:rsid w:val="00272CB4"/>
    <w:rsid w:val="00281479"/>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59E6"/>
    <w:rsid w:val="0044705E"/>
    <w:rsid w:val="00477C2E"/>
    <w:rsid w:val="004808C6"/>
    <w:rsid w:val="00485E5E"/>
    <w:rsid w:val="004A4F2D"/>
    <w:rsid w:val="004E0EEC"/>
    <w:rsid w:val="004E3402"/>
    <w:rsid w:val="004F52AF"/>
    <w:rsid w:val="004F54A0"/>
    <w:rsid w:val="004F5C9E"/>
    <w:rsid w:val="004F7103"/>
    <w:rsid w:val="00501D42"/>
    <w:rsid w:val="005129DB"/>
    <w:rsid w:val="00523B5F"/>
    <w:rsid w:val="005253AD"/>
    <w:rsid w:val="005378F0"/>
    <w:rsid w:val="00557F99"/>
    <w:rsid w:val="0057236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1AF1"/>
    <w:rsid w:val="00695BF8"/>
    <w:rsid w:val="006977C3"/>
    <w:rsid w:val="006A096A"/>
    <w:rsid w:val="006B0EB6"/>
    <w:rsid w:val="006B4013"/>
    <w:rsid w:val="006B6C40"/>
    <w:rsid w:val="006C45FD"/>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82689"/>
    <w:rsid w:val="00791FC9"/>
    <w:rsid w:val="00792482"/>
    <w:rsid w:val="0079316D"/>
    <w:rsid w:val="007947E9"/>
    <w:rsid w:val="007A58F8"/>
    <w:rsid w:val="007E0F09"/>
    <w:rsid w:val="007E2F52"/>
    <w:rsid w:val="007E466E"/>
    <w:rsid w:val="007E5C50"/>
    <w:rsid w:val="007F1718"/>
    <w:rsid w:val="007F18E6"/>
    <w:rsid w:val="007F226B"/>
    <w:rsid w:val="00804CE8"/>
    <w:rsid w:val="008324FE"/>
    <w:rsid w:val="0083334C"/>
    <w:rsid w:val="00833AE1"/>
    <w:rsid w:val="00834323"/>
    <w:rsid w:val="00841379"/>
    <w:rsid w:val="0085068C"/>
    <w:rsid w:val="00853556"/>
    <w:rsid w:val="008545FA"/>
    <w:rsid w:val="00863149"/>
    <w:rsid w:val="00865B5B"/>
    <w:rsid w:val="00881E8B"/>
    <w:rsid w:val="00891674"/>
    <w:rsid w:val="008940B1"/>
    <w:rsid w:val="008B154E"/>
    <w:rsid w:val="008B7726"/>
    <w:rsid w:val="008C212F"/>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1013"/>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3826"/>
    <w:rsid w:val="009F453D"/>
    <w:rsid w:val="00A02CA7"/>
    <w:rsid w:val="00A157F0"/>
    <w:rsid w:val="00A25E57"/>
    <w:rsid w:val="00A4464F"/>
    <w:rsid w:val="00A46E8D"/>
    <w:rsid w:val="00A478D2"/>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21B3F"/>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3258"/>
    <w:rsid w:val="00BD6A49"/>
    <w:rsid w:val="00BD6FBD"/>
    <w:rsid w:val="00BD77ED"/>
    <w:rsid w:val="00BE7284"/>
    <w:rsid w:val="00BF363B"/>
    <w:rsid w:val="00BF3F02"/>
    <w:rsid w:val="00BF3F2A"/>
    <w:rsid w:val="00BF688E"/>
    <w:rsid w:val="00BF6B18"/>
    <w:rsid w:val="00C00BC7"/>
    <w:rsid w:val="00C12969"/>
    <w:rsid w:val="00C13584"/>
    <w:rsid w:val="00C17BA2"/>
    <w:rsid w:val="00C30C20"/>
    <w:rsid w:val="00C40E65"/>
    <w:rsid w:val="00C541CB"/>
    <w:rsid w:val="00C55166"/>
    <w:rsid w:val="00C76558"/>
    <w:rsid w:val="00C86FD4"/>
    <w:rsid w:val="00C96654"/>
    <w:rsid w:val="00CB2130"/>
    <w:rsid w:val="00CB3C11"/>
    <w:rsid w:val="00CD4D83"/>
    <w:rsid w:val="00D1587C"/>
    <w:rsid w:val="00D1598D"/>
    <w:rsid w:val="00D278D7"/>
    <w:rsid w:val="00D27B5E"/>
    <w:rsid w:val="00D31D50"/>
    <w:rsid w:val="00D36AD8"/>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2BE8"/>
    <w:rsid w:val="00EF69B3"/>
    <w:rsid w:val="00F03202"/>
    <w:rsid w:val="00F04061"/>
    <w:rsid w:val="00F14151"/>
    <w:rsid w:val="00F152B0"/>
    <w:rsid w:val="00F212D3"/>
    <w:rsid w:val="00F30A36"/>
    <w:rsid w:val="00F34B4A"/>
    <w:rsid w:val="00F34DF9"/>
    <w:rsid w:val="00F4455E"/>
    <w:rsid w:val="00F44EED"/>
    <w:rsid w:val="00F5231B"/>
    <w:rsid w:val="00F64CC8"/>
    <w:rsid w:val="00F71C38"/>
    <w:rsid w:val="00F83638"/>
    <w:rsid w:val="00F8761F"/>
    <w:rsid w:val="00F94053"/>
    <w:rsid w:val="00F952C7"/>
    <w:rsid w:val="00F96965"/>
    <w:rsid w:val="00F96BF5"/>
    <w:rsid w:val="00FA1FA5"/>
    <w:rsid w:val="00FA4F5F"/>
    <w:rsid w:val="00FA7B45"/>
    <w:rsid w:val="00FB608D"/>
    <w:rsid w:val="00FC0456"/>
    <w:rsid w:val="00FC3104"/>
    <w:rsid w:val="00FF44F0"/>
    <w:rsid w:val="00FF7A26"/>
    <w:rsid w:val="0C6024F9"/>
    <w:rsid w:val="0C626525"/>
    <w:rsid w:val="0F0E4D95"/>
    <w:rsid w:val="0FB4444C"/>
    <w:rsid w:val="142024D2"/>
    <w:rsid w:val="16C92FBB"/>
    <w:rsid w:val="1C3609F9"/>
    <w:rsid w:val="1CE639F3"/>
    <w:rsid w:val="2861752A"/>
    <w:rsid w:val="2B1948DF"/>
    <w:rsid w:val="2CC40F76"/>
    <w:rsid w:val="2CD601DB"/>
    <w:rsid w:val="2F394C63"/>
    <w:rsid w:val="314F310E"/>
    <w:rsid w:val="37374810"/>
    <w:rsid w:val="3A130B8D"/>
    <w:rsid w:val="3D102FCC"/>
    <w:rsid w:val="3D6E2B52"/>
    <w:rsid w:val="3DB96E59"/>
    <w:rsid w:val="545B5EC6"/>
    <w:rsid w:val="57C14D8D"/>
    <w:rsid w:val="5E5416C1"/>
    <w:rsid w:val="60A829BF"/>
    <w:rsid w:val="621703A7"/>
    <w:rsid w:val="651A03E2"/>
    <w:rsid w:val="69D5306C"/>
    <w:rsid w:val="6B193C93"/>
    <w:rsid w:val="794A77EC"/>
    <w:rsid w:val="7F4E42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43"/>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4"/>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字符"/>
    <w:basedOn w:val="17"/>
    <w:link w:val="13"/>
    <w:qFormat/>
    <w:uiPriority w:val="99"/>
    <w:rPr>
      <w:rFonts w:ascii="Tahoma" w:hAnsi="Tahoma"/>
      <w:sz w:val="18"/>
      <w:szCs w:val="18"/>
    </w:rPr>
  </w:style>
  <w:style w:type="character" w:customStyle="1" w:styleId="23">
    <w:name w:val="页脚字符"/>
    <w:basedOn w:val="17"/>
    <w:link w:val="12"/>
    <w:qFormat/>
    <w:uiPriority w:val="99"/>
    <w:rPr>
      <w:rFonts w:ascii="Tahoma" w:hAnsi="Tahoma"/>
      <w:sz w:val="18"/>
      <w:szCs w:val="18"/>
    </w:rPr>
  </w:style>
  <w:style w:type="character" w:customStyle="1" w:styleId="24">
    <w:name w:val="标题 1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字符"/>
    <w:basedOn w:val="17"/>
    <w:link w:val="4"/>
    <w:qFormat/>
    <w:uiPriority w:val="0"/>
    <w:rPr>
      <w:rFonts w:ascii="Times New Roman" w:hAnsi="Times New Roman" w:eastAsia="宋体" w:cs="Times New Roman"/>
      <w:b/>
      <w:bCs/>
      <w:kern w:val="2"/>
      <w:sz w:val="32"/>
      <w:szCs w:val="32"/>
    </w:rPr>
  </w:style>
  <w:style w:type="character" w:customStyle="1" w:styleId="28">
    <w:name w:val="标题 4字符"/>
    <w:basedOn w:val="17"/>
    <w:link w:val="6"/>
    <w:qFormat/>
    <w:uiPriority w:val="9"/>
    <w:rPr>
      <w:rFonts w:ascii="Arial" w:hAnsi="Arial" w:eastAsia="黑体" w:cs="Arial"/>
      <w:b/>
      <w:bCs/>
      <w:kern w:val="2"/>
      <w:sz w:val="28"/>
      <w:szCs w:val="28"/>
    </w:rPr>
  </w:style>
  <w:style w:type="character" w:customStyle="1" w:styleId="29">
    <w:name w:val="标题 Char1"/>
    <w:basedOn w:val="17"/>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字符"/>
    <w:link w:val="5"/>
    <w:qFormat/>
    <w:uiPriority w:val="0"/>
    <w:rPr>
      <w:kern w:val="2"/>
      <w:sz w:val="21"/>
      <w:szCs w:val="21"/>
    </w:rPr>
  </w:style>
  <w:style w:type="character" w:customStyle="1" w:styleId="34">
    <w:name w:val="标题字符"/>
    <w:basedOn w:val="17"/>
    <w:link w:val="16"/>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qFormat/>
    <w:uiPriority w:val="0"/>
    <w:rPr>
      <w:rFonts w:ascii="宋体" w:hAnsi="Courier New" w:cs="Courier New"/>
      <w:kern w:val="2"/>
      <w:sz w:val="21"/>
      <w:szCs w:val="21"/>
    </w:rPr>
  </w:style>
  <w:style w:type="character" w:customStyle="1" w:styleId="37">
    <w:name w:val="纯文本字符"/>
    <w:basedOn w:val="17"/>
    <w:link w:val="10"/>
    <w:semiHidden/>
    <w:qFormat/>
    <w:uiPriority w:val="99"/>
    <w:rPr>
      <w:rFonts w:ascii="宋体" w:hAnsi="Courier New" w:eastAsia="宋体" w:cs="Courier New"/>
      <w:sz w:val="21"/>
      <w:szCs w:val="21"/>
    </w:rPr>
  </w:style>
  <w:style w:type="character" w:customStyle="1" w:styleId="38">
    <w:name w:val="标题 2字符"/>
    <w:basedOn w:val="17"/>
    <w:link w:val="3"/>
    <w:qFormat/>
    <w:uiPriority w:val="9"/>
    <w:rPr>
      <w:rFonts w:asciiTheme="majorHAnsi" w:hAnsiTheme="majorHAnsi" w:eastAsiaTheme="majorEastAsia" w:cstheme="majorBidi"/>
      <w:b/>
      <w:bCs/>
      <w:sz w:val="32"/>
      <w:szCs w:val="32"/>
    </w:rPr>
  </w:style>
  <w:style w:type="character" w:customStyle="1" w:styleId="39">
    <w:name w:val="正文文本 Char"/>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字符"/>
    <w:basedOn w:val="17"/>
    <w:link w:val="9"/>
    <w:semiHidden/>
    <w:uiPriority w:val="99"/>
    <w:rPr>
      <w:rFonts w:ascii="Tahoma" w:hAnsi="Tahoma"/>
    </w:rPr>
  </w:style>
  <w:style w:type="character" w:customStyle="1" w:styleId="44">
    <w:name w:val="批注框文本字符"/>
    <w:basedOn w:val="17"/>
    <w:link w:val="11"/>
    <w:semiHidden/>
    <w:qFormat/>
    <w:uiPriority w:val="99"/>
    <w:rPr>
      <w:rFonts w:ascii="Tahoma" w:hAnsi="Tahoma"/>
      <w:sz w:val="18"/>
      <w:szCs w:val="18"/>
    </w:rPr>
  </w:style>
  <w:style w:type="character" w:customStyle="1" w:styleId="45">
    <w:name w:val="注释文本字符"/>
    <w:basedOn w:val="17"/>
    <w:link w:val="8"/>
    <w:semiHidden/>
    <w:qFormat/>
    <w:uiPriority w:val="99"/>
    <w:rPr>
      <w:rFonts w:ascii="Tahoma" w:hAnsi="Tahoma"/>
    </w:rPr>
  </w:style>
  <w:style w:type="character" w:customStyle="1" w:styleId="46">
    <w:name w:val="批注主题字符"/>
    <w:basedOn w:val="45"/>
    <w:link w:val="7"/>
    <w:semiHidden/>
    <w:qFormat/>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42D6CA-A3EF-E741-BEB8-033F7DD5EE9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2234</Words>
  <Characters>12735</Characters>
  <Lines>106</Lines>
  <Paragraphs>29</Paragraphs>
  <TotalTime>7</TotalTime>
  <ScaleCrop>false</ScaleCrop>
  <LinksUpToDate>false</LinksUpToDate>
  <CharactersWithSpaces>14940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2018-11-08T06:42:02Z</dcterms:modified>
  <cp:revision>682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