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项目名称：超低温冰箱，液氮罐等一批设备</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b/>
          <w:bCs/>
          <w:sz w:val="32"/>
          <w:highlight w:val="yellow"/>
        </w:rPr>
      </w:pPr>
      <w:r>
        <w:rPr>
          <w:rFonts w:hint="eastAsia"/>
          <w:b/>
          <w:bCs/>
          <w:sz w:val="32"/>
        </w:rPr>
        <w:t>项目编号：NJMUZB3012019003</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479757206"/>
      <w:bookmarkStart w:id="4" w:name="_Toc16938516"/>
      <w:bookmarkStart w:id="5" w:name="_Toc20823272"/>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6938558"/>
      <w:bookmarkStart w:id="9" w:name="_Toc513029242"/>
      <w:bookmarkStart w:id="10" w:name="_Toc120614221"/>
      <w:bookmarkStart w:id="11" w:name="OLE_LINK1"/>
      <w:bookmarkStart w:id="12" w:name="_Toc120614211"/>
      <w:bookmarkStart w:id="13" w:name="_Toc20823314"/>
      <w:bookmarkStart w:id="14" w:name="_Toc479757207"/>
      <w:bookmarkStart w:id="15" w:name="OLE_LINK2"/>
      <w:bookmarkStart w:id="16" w:name="_Toc444669970"/>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超低温冰箱液氮，液氮罐等一批设备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超低温冰箱、液氮罐等一批设备购置项目</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（二）采购项目编号：NJMUZB3012019003</w:t>
      </w:r>
    </w:p>
    <w:p>
      <w:pPr>
        <w:spacing w:beforeLines="50" w:afterLines="50" w:line="280" w:lineRule="exact"/>
        <w:ind w:firstLine="562" w:firstLineChars="200"/>
        <w:rPr>
          <w:rFonts w:asciiTheme="minorEastAsia" w:hAnsiTheme="minorEastAsia" w:eastAsiaTheme="minorEastAsia"/>
          <w:bCs/>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bCs/>
          <w:sz w:val="28"/>
          <w:szCs w:val="28"/>
        </w:rPr>
        <w:t>总预算：32.2万元</w:t>
      </w:r>
    </w:p>
    <w:p>
      <w:pPr>
        <w:pStyle w:val="8"/>
        <w:ind w:firstLine="280" w:firstLineChars="100"/>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bCs/>
          <w:sz w:val="28"/>
          <w:szCs w:val="28"/>
        </w:rPr>
        <w:t>分项预算</w:t>
      </w:r>
      <w:r>
        <w:rPr>
          <w:rFonts w:hint="eastAsia" w:asciiTheme="minorEastAsia" w:hAnsiTheme="minorEastAsia" w:eastAsiaTheme="minorEastAsia"/>
          <w:bCs/>
          <w:sz w:val="28"/>
          <w:szCs w:val="28"/>
          <w:lang w:eastAsia="zh-CN"/>
        </w:rPr>
        <w:t>：</w:t>
      </w:r>
      <w:r>
        <w:rPr>
          <w:rFonts w:hint="eastAsia" w:asciiTheme="minorEastAsia" w:hAnsiTheme="minorEastAsia" w:eastAsiaTheme="minorEastAsia"/>
          <w:bCs/>
          <w:sz w:val="28"/>
          <w:szCs w:val="28"/>
          <w:lang w:val="en-US" w:eastAsia="zh-CN"/>
        </w:rPr>
        <w:t xml:space="preserve"> </w:t>
      </w:r>
      <w:r>
        <w:rPr>
          <w:rFonts w:hint="eastAsia" w:asciiTheme="minorEastAsia" w:hAnsiTheme="minorEastAsia" w:eastAsiaTheme="minorEastAsia"/>
          <w:bCs/>
          <w:sz w:val="21"/>
          <w:szCs w:val="21"/>
          <w:lang w:val="en-US" w:eastAsia="zh-CN"/>
        </w:rPr>
        <w:t>1、</w:t>
      </w:r>
      <w:r>
        <w:rPr>
          <w:rFonts w:hint="eastAsia" w:asciiTheme="minorEastAsia" w:hAnsiTheme="minorEastAsia" w:eastAsiaTheme="minorEastAsia" w:cstheme="minorEastAsia"/>
          <w:bCs/>
          <w:sz w:val="21"/>
          <w:szCs w:val="21"/>
        </w:rPr>
        <w:t>超低温冰箱</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预算 6万元</w:t>
      </w:r>
    </w:p>
    <w:p>
      <w:pPr>
        <w:pStyle w:val="8"/>
        <w:numPr>
          <w:ilvl w:val="-1"/>
          <w:numId w:val="0"/>
        </w:numPr>
        <w:ind w:firstLine="1890" w:firstLineChars="9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2、</w:t>
      </w:r>
      <w:r>
        <w:rPr>
          <w:rFonts w:hint="eastAsia" w:asciiTheme="minorEastAsia" w:hAnsiTheme="minorEastAsia" w:eastAsiaTheme="minorEastAsia" w:cstheme="minorEastAsia"/>
          <w:bCs/>
          <w:sz w:val="21"/>
          <w:szCs w:val="21"/>
        </w:rPr>
        <w:t xml:space="preserve">液氮罐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预算 4.3万元</w:t>
      </w:r>
    </w:p>
    <w:p>
      <w:pPr>
        <w:pStyle w:val="8"/>
        <w:ind w:firstLine="1890" w:firstLineChars="900"/>
        <w:rPr>
          <w:rStyle w:val="20"/>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Cs/>
          <w:sz w:val="21"/>
          <w:szCs w:val="21"/>
          <w:lang w:val="en-US" w:eastAsia="zh-CN"/>
        </w:rPr>
        <w:t>3、</w:t>
      </w:r>
      <w:r>
        <w:rPr>
          <w:rFonts w:hint="eastAsia" w:asciiTheme="minorEastAsia" w:hAnsiTheme="minorEastAsia" w:eastAsiaTheme="minorEastAsia" w:cstheme="minorEastAsia"/>
          <w:bCs/>
          <w:sz w:val="21"/>
          <w:szCs w:val="21"/>
        </w:rPr>
        <w:t xml:space="preserve">二氧化碳培养箱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预算 11万元</w:t>
      </w:r>
      <w:r>
        <w:rPr>
          <w:rStyle w:val="20"/>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如为进口设备，提供免税报价</w:t>
      </w:r>
      <w:r>
        <w:rPr>
          <w:rStyle w:val="20"/>
          <w:rFonts w:hint="eastAsia" w:asciiTheme="minorEastAsia" w:hAnsiTheme="minorEastAsia" w:eastAsiaTheme="minorEastAsia" w:cstheme="minorEastAsia"/>
          <w:sz w:val="21"/>
          <w:szCs w:val="21"/>
          <w:lang w:val="en-US" w:eastAsia="zh-CN"/>
        </w:rPr>
        <w:t>)</w:t>
      </w:r>
    </w:p>
    <w:p>
      <w:pPr>
        <w:pStyle w:val="8"/>
        <w:ind w:firstLine="1890" w:firstLineChars="900"/>
        <w:rPr>
          <w:rFonts w:hint="eastAsia" w:asciiTheme="minorEastAsia" w:hAnsiTheme="minorEastAsia" w:eastAsiaTheme="minorEastAsia" w:cstheme="minorEastAsia"/>
          <w:bCs/>
          <w:sz w:val="21"/>
          <w:szCs w:val="21"/>
        </w:rPr>
      </w:pPr>
      <w:r>
        <w:rPr>
          <w:rStyle w:val="20"/>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bCs/>
          <w:sz w:val="21"/>
          <w:szCs w:val="21"/>
        </w:rPr>
        <w:t>生物安全柜</w:t>
      </w:r>
      <w:r>
        <w:rPr>
          <w:rStyle w:val="20"/>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预算 5.3万元</w:t>
      </w:r>
    </w:p>
    <w:p>
      <w:pPr>
        <w:pStyle w:val="8"/>
        <w:ind w:firstLine="1890" w:firstLineChars="9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5、</w:t>
      </w:r>
      <w:r>
        <w:rPr>
          <w:rFonts w:hint="eastAsia" w:asciiTheme="minorEastAsia" w:hAnsiTheme="minorEastAsia" w:eastAsiaTheme="minorEastAsia" w:cstheme="minorEastAsia"/>
          <w:bCs/>
          <w:sz w:val="21"/>
          <w:szCs w:val="21"/>
        </w:rPr>
        <w:t>生物安全柜</w:t>
      </w:r>
      <w:r>
        <w:rPr>
          <w:rFonts w:hint="eastAsia" w:asciiTheme="minorEastAsia" w:hAnsiTheme="minorEastAsia" w:eastAsiaTheme="minorEastAsia" w:cstheme="minorEastAsia"/>
          <w:bCs/>
          <w:sz w:val="21"/>
          <w:szCs w:val="21"/>
          <w:lang w:val="en-US" w:eastAsia="zh-CN"/>
        </w:rPr>
        <w:t>2</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 xml:space="preserve"> </w:t>
      </w:r>
      <w:r>
        <w:rPr>
          <w:rFonts w:hint="eastAsia" w:asciiTheme="minorEastAsia" w:hAnsiTheme="minorEastAsia" w:eastAsiaTheme="minorEastAsia" w:cstheme="minorEastAsia"/>
          <w:bCs/>
          <w:sz w:val="21"/>
          <w:szCs w:val="21"/>
        </w:rPr>
        <w:t>预算 5.6万元</w:t>
      </w:r>
      <w:r>
        <w:rPr>
          <w:rFonts w:hint="eastAsia" w:asciiTheme="minorEastAsia" w:hAnsiTheme="minorEastAsia" w:eastAsiaTheme="minorEastAsia" w:cstheme="minorEastAsia"/>
          <w:bCs/>
          <w:sz w:val="21"/>
          <w:szCs w:val="21"/>
          <w:lang w:val="en-US" w:eastAsia="zh-CN"/>
        </w:rPr>
        <w:t>(</w:t>
      </w:r>
      <w:r>
        <w:rPr>
          <w:rStyle w:val="20"/>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如为进口设备，提供免税报价</w:t>
      </w:r>
      <w:r>
        <w:rPr>
          <w:rFonts w:hint="eastAsia" w:asciiTheme="minorEastAsia" w:hAnsiTheme="minorEastAsia" w:eastAsiaTheme="minorEastAsia" w:cstheme="minorEastAsia"/>
          <w:bCs/>
          <w:sz w:val="21"/>
          <w:szCs w:val="21"/>
          <w:lang w:val="en-US" w:eastAsia="zh-CN"/>
        </w:rPr>
        <w:t>)</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420" w:firstLineChars="200"/>
        <w:rPr>
          <w:rFonts w:asciiTheme="minorEastAsia" w:hAnsiTheme="minorEastAsia" w:eastAsiaTheme="minorEastAsia"/>
          <w:sz w:val="28"/>
          <w:szCs w:val="28"/>
        </w:rPr>
      </w:pPr>
      <w:r>
        <w:rPr>
          <w:rFonts w:hint="eastAsia" w:ascii="宋体" w:hAnsi="宋体" w:eastAsia="宋体" w:cs="宋体"/>
          <w:color w:val="000000"/>
          <w:sz w:val="21"/>
          <w:szCs w:val="21"/>
        </w:rPr>
        <w:t>★</w:t>
      </w:r>
      <w:r>
        <w:rPr>
          <w:rFonts w:hint="eastAsia" w:asciiTheme="minorEastAsia" w:hAnsiTheme="minorEastAsia" w:eastAsiaTheme="minorEastAsia"/>
          <w:sz w:val="28"/>
          <w:szCs w:val="28"/>
        </w:rPr>
        <w:t>（二）进口设备需要做免税的只接受免税后人民报价不接受人民币含税报价，不需要做免税的只接受人民币含税报价不接受免税报价。</w:t>
      </w:r>
    </w:p>
    <w:p>
      <w:pPr>
        <w:spacing w:beforeLines="50" w:afterLines="50" w:line="28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bCs/>
          <w:sz w:val="28"/>
          <w:szCs w:val="28"/>
          <w:u w:val="single"/>
        </w:rPr>
        <w:t>（三）请投标人对整个项目进行总报价的同时，提供每个设备的分项报价，未提供分项报价的按无效标处理，后果自负。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投标文件接收开始时间：2019年01月28日上午8:30（北京时间）</w:t>
      </w:r>
    </w:p>
    <w:p>
      <w:pPr>
        <w:spacing w:line="28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投标文件接收截止时间：2019年01月28日上午9:15前（北京时间）</w:t>
      </w:r>
    </w:p>
    <w:p>
      <w:pPr>
        <w:spacing w:line="28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2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2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开标时间：2019年01月28日上午9:15（北京时间）</w:t>
      </w:r>
    </w:p>
    <w:p>
      <w:pPr>
        <w:spacing w:line="28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（三）投标报价超过项目预算，包括超过总预算和分项预算；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项目需求方联系人：钱</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w:t>
      </w:r>
      <w:r>
        <w:rPr>
          <w:rFonts w:asciiTheme="minorEastAsia" w:hAnsiTheme="minorEastAsia" w:eastAsiaTheme="minorEastAsia"/>
          <w:sz w:val="24"/>
          <w:szCs w:val="24"/>
        </w:rPr>
        <w:t>025-86868465</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6938519"/>
      <w:bookmarkStart w:id="23" w:name="_Toc20823275"/>
      <w:bookmarkStart w:id="24" w:name="_Toc120614214"/>
      <w:bookmarkStart w:id="25" w:name="_Toc513029203"/>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20823278"/>
      <w:bookmarkStart w:id="35" w:name="_Toc16938522"/>
      <w:bookmarkStart w:id="36" w:name="_Toc513029206"/>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20823279"/>
      <w:bookmarkStart w:id="38" w:name="_Toc16938523"/>
      <w:bookmarkStart w:id="39" w:name="_Toc513029207"/>
      <w:bookmarkStart w:id="40" w:name="_Toc46256406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20823281"/>
      <w:bookmarkStart w:id="42" w:name="_Toc16938525"/>
      <w:bookmarkStart w:id="43" w:name="_Toc517190883"/>
      <w:bookmarkStart w:id="44" w:name="_Toc120614215"/>
      <w:bookmarkStart w:id="45" w:name="_Toc513029209"/>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513029211"/>
      <w:bookmarkStart w:id="50" w:name="_Toc462564070"/>
      <w:bookmarkStart w:id="51" w:name="_Toc16938527"/>
      <w:bookmarkStart w:id="52" w:name="_Toc20823283"/>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16938528"/>
      <w:bookmarkStart w:id="55" w:name="_Toc462564071"/>
      <w:bookmarkStart w:id="56" w:name="_Toc20823284"/>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120614216"/>
      <w:bookmarkStart w:id="58" w:name="_Toc517190884"/>
      <w:bookmarkStart w:id="59" w:name="_Toc16938529"/>
      <w:bookmarkStart w:id="60" w:name="_Toc513029213"/>
      <w:bookmarkStart w:id="61" w:name="_Toc462564072"/>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16938530"/>
      <w:bookmarkStart w:id="64" w:name="_Toc462564073"/>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20823287"/>
      <w:bookmarkStart w:id="68" w:name="_Toc462564074"/>
      <w:bookmarkStart w:id="69" w:name="_Toc16938531"/>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49090509"/>
      <w:bookmarkStart w:id="76" w:name="_Toc14577357"/>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68983"/>
      <w:bookmarkEnd w:id="86"/>
      <w:bookmarkStart w:id="87" w:name="_Hlt26954844"/>
      <w:bookmarkEnd w:id="87"/>
      <w:bookmarkStart w:id="88" w:name="_Hlt26954842"/>
      <w:bookmarkEnd w:id="88"/>
      <w:bookmarkStart w:id="89" w:name="_Hlt26670425"/>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731"/>
      <w:bookmarkEnd w:id="91"/>
      <w:bookmarkStart w:id="92" w:name="_Hlt26954846"/>
      <w:bookmarkEnd w:id="92"/>
      <w:bookmarkStart w:id="93" w:name="_Hlt26670482"/>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852"/>
      <w:bookmarkEnd w:id="98"/>
      <w:bookmarkStart w:id="99" w:name="_Hlt26954850"/>
      <w:bookmarkEnd w:id="99"/>
      <w:bookmarkStart w:id="100" w:name="_Hlt26954739"/>
      <w:bookmarkEnd w:id="100"/>
      <w:bookmarkStart w:id="101" w:name="_Hlt26670489"/>
      <w:bookmarkEnd w:id="101"/>
      <w:bookmarkStart w:id="102" w:name="_Hlt26954734"/>
      <w:bookmarkEnd w:id="102"/>
      <w:bookmarkStart w:id="103" w:name="_Toc14577361"/>
      <w:bookmarkStart w:id="104" w:name="_Toc49090512"/>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517190885"/>
      <w:bookmarkStart w:id="107" w:name="_Toc20823296"/>
      <w:bookmarkStart w:id="108" w:name="_Toc16938540"/>
      <w:bookmarkStart w:id="109" w:name="_Toc513029224"/>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20823297"/>
      <w:bookmarkStart w:id="111" w:name="_Toc462564084"/>
      <w:bookmarkStart w:id="112" w:name="_Toc16938541"/>
      <w:bookmarkStart w:id="113" w:name="_Toc513029225"/>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6938545"/>
      <w:bookmarkStart w:id="124" w:name="_Toc20823301"/>
      <w:bookmarkStart w:id="125" w:name="_Toc513029229"/>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20823302"/>
      <w:bookmarkStart w:id="130" w:name="_Toc16938546"/>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20823306"/>
      <w:bookmarkStart w:id="138" w:name="_Toc513029234"/>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20823307"/>
      <w:bookmarkStart w:id="142"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5"/>
      <w:bookmarkStart w:id="149" w:name="OLE_LINK6"/>
      <w:bookmarkStart w:id="150" w:name="OLE_LINK7"/>
      <w:bookmarkStart w:id="151" w:name="OLE_LINK4"/>
      <w:bookmarkStart w:id="152" w:name="OLE_LINK3"/>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20823308"/>
      <w:bookmarkStart w:id="159" w:name="_Toc513029236"/>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16938553"/>
      <w:bookmarkStart w:id="161" w:name="_Toc513029237"/>
      <w:bookmarkStart w:id="162" w:name="_Toc20823309"/>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
      <w:pPr>
        <w:numPr>
          <w:ilvl w:val="0"/>
          <w:numId w:val="3"/>
        </w:num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技术参数及产品配置表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55"/>
        <w:gridCol w:w="1290"/>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1"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755"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产品名称</w:t>
            </w:r>
          </w:p>
        </w:tc>
        <w:tc>
          <w:tcPr>
            <w:tcW w:w="1290"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产品数量</w:t>
            </w:r>
          </w:p>
        </w:tc>
        <w:tc>
          <w:tcPr>
            <w:tcW w:w="4786"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3" w:hRule="atLeast"/>
        </w:trPr>
        <w:tc>
          <w:tcPr>
            <w:tcW w:w="691"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75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超低温冰箱</w:t>
            </w:r>
          </w:p>
          <w:p>
            <w:pPr>
              <w:widowControl w:val="0"/>
              <w:jc w:val="center"/>
              <w:rPr>
                <w:rFonts w:asciiTheme="minorEastAsia" w:hAnsiTheme="minorEastAsia" w:eastAsiaTheme="minorEastAsia" w:cstheme="minorEastAsia"/>
                <w:sz w:val="24"/>
                <w:szCs w:val="24"/>
              </w:rPr>
            </w:pPr>
          </w:p>
        </w:tc>
        <w:tc>
          <w:tcPr>
            <w:tcW w:w="1290"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786" w:type="dxa"/>
          </w:tcPr>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1、内部容积：不小于 490L，2英寸冻存盒容量不少于 320 个</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★2、压缩机:2台1.5 HP国际知名品牌工业级高效压缩机，杜邦制冷剂，无CFC,无HCFC,阻燃, 压缩机高效强劲。</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3、工作温度:-50℃∽-86℃</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4、工作电压:208-240V宽工作电压范围,带时间延迟断路器</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5、Boost/Buck电压及电流补偿器,当电压异常和电流异常时,保证冰箱的正常运行</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★6、标配两台冷凝风扇智能开停，高效节能</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★7、箱体结构：重型冷轧钢箱体结构，粉末涂层外壁，盐喷测试超过1000小时；镀锌钢内壁，可选配不锈钢内壁，便于清洗耐腐蚀；3块可调节高度的不锈钢搁板；</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8、工业级门铰链不易变形，确保良好的密封性，</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★9、标配四扇内门，减少冷气丢失</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★10、具有良好的保温性能，室温20℃断电时，空载的情况下从 -80℃ 升温到 -50℃ 的时间不低于 237 分钟</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★11、127mm厚原位成型无氟聚亚胺酯绝热层，门厚114mm，减少热量传递，防止冷凝物形成</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★12、三层式门密封条，提供极佳的保温性能</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★13、控制操作面板高度：1.5至1.6米，方便查看和设置参数</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★14、符合人体工程学的单手操作门把手，可锁定并可同时增加一挂锁，提高安全性</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★15、标配1” (25mm) 预留</w:t>
            </w:r>
            <w:bookmarkStart w:id="165" w:name="OLE_LINK36"/>
            <w:bookmarkStart w:id="166" w:name="OLE_LINK35"/>
            <w:r>
              <w:rPr>
                <w:rFonts w:hint="eastAsia" w:asciiTheme="minorEastAsia" w:hAnsiTheme="minorEastAsia" w:eastAsiaTheme="minorEastAsia"/>
                <w:sz w:val="24"/>
                <w:szCs w:val="24"/>
              </w:rPr>
              <w:t>外接端口</w:t>
            </w:r>
            <w:bookmarkEnd w:id="165"/>
            <w:bookmarkEnd w:id="166"/>
            <w:r>
              <w:rPr>
                <w:rFonts w:hint="eastAsia" w:asciiTheme="minorEastAsia" w:hAnsiTheme="minorEastAsia" w:eastAsiaTheme="minorEastAsia"/>
                <w:sz w:val="24"/>
                <w:szCs w:val="24"/>
              </w:rPr>
              <w:t>，可连接外部探头或仪器</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★16、标配4-20mA, RS-485 以及 dry contacts数据输出端口</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★17、超大冷凝器，面积为305X457mm， 确保最佳降温效果</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★18、标配冷凝器过滤网，易拆卸，可水洗, 保护冷凝器免沾灰尘，提高制冷性能</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★19、外门配有专利的带加热功能的自动减压阀，可在关门后迅速平衡冰箱门内外压差，方便高度密封的外门30-60秒内再次单手轻松开启.</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★20、全电脑控制和信息显示中心可进行多种状态和参数显示,提供九种报警提示: 过温,温度不足,门过久开启,断电,温度探头损坏,电源错误,后备电池需充电，压缩机故障,制冷电路损坏</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21、重型脚轮，方便移动和固定冰箱</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22、冰箱底部装有消声器和吸音泡沫，能大大减少噪音，运行安静</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★23、后备电池在断电情况下为监控报警系统供电长达72小时</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★24、可以选配液态CO2和液氮后备制冷系统，可在断电和冰箱故障时启动，使样品保持-60℃以下低温</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★25、可选配6英寸(15.2cm)图表温度记录仪，连续记录七天温度，符合验证和法规要求</w:t>
            </w:r>
          </w:p>
          <w:p>
            <w:pPr>
              <w:keepNext w:val="0"/>
              <w:widowControl/>
              <w:spacing w:beforeLines="50" w:afterLines="50" w:line="280" w:lineRule="exact"/>
              <w:ind w:firstLine="240" w:firstLineChars="100"/>
              <w:jc w:val="both"/>
              <w:outlineLvl w:val="9"/>
              <w:rPr>
                <w:rFonts w:asciiTheme="minorEastAsia" w:hAnsiTheme="minorEastAsia" w:eastAsiaTheme="minorEastAsia" w:cstheme="minorEastAsia"/>
                <w:b/>
                <w:bCs/>
                <w:kern w:val="2"/>
                <w:sz w:val="28"/>
                <w:szCs w:val="28"/>
              </w:rPr>
            </w:pPr>
            <w:r>
              <w:rPr>
                <w:rFonts w:hint="eastAsia" w:asciiTheme="minorEastAsia" w:hAnsiTheme="minorEastAsia" w:eastAsiaTheme="minorEastAsia"/>
                <w:sz w:val="24"/>
                <w:szCs w:val="24"/>
              </w:rPr>
              <w:t>★26、符合 CE 认证,CFDA 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1"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75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液氮罐</w:t>
            </w:r>
          </w:p>
          <w:p>
            <w:pPr>
              <w:widowControl w:val="0"/>
              <w:jc w:val="center"/>
              <w:rPr>
                <w:rFonts w:asciiTheme="minorEastAsia" w:hAnsiTheme="minorEastAsia" w:eastAsiaTheme="minorEastAsia" w:cstheme="minorEastAsia"/>
                <w:sz w:val="24"/>
                <w:szCs w:val="24"/>
              </w:rPr>
            </w:pPr>
          </w:p>
        </w:tc>
        <w:tc>
          <w:tcPr>
            <w:tcW w:w="1290"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786" w:type="dxa"/>
          </w:tcPr>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★1、箱体结构：双层铝制真空设计结合高级真空绝热材料</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2、液氮容量：不大于121升</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3、液氮罐瓶颈: 小于22cm</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★4、静态保存时间：不小于112天</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★5、标配4个冻存架，可容纳1.2/2ml冻存管4000个</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★6、冻存架采用悬挂及隔箱设计，编有索引的架子和盒子可以减少存取样品的时间适合手工和计算机库存管理</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可选配超声波液位监测器，采用超声波技术无需与液氮直接接触，可进行液位监测和报警，减少液氮损耗，提高操作的安全性。超声液位报警器的LED液位指示灯面板可持续显示液氮量，精确到1/8增量；液位过低时，报警器连续鸣叫</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★8、可选配低液位报警器，当液位低于设定高度时，发出声光报警，该报警器具有远程报警接口，可连远程报警设备</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★9、罐体高度直径: 不大于 91*56cm</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★10、空罐重量：不大于 36kg</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★11、具有安全锁扣设计，充分保证样品安全</w:t>
            </w:r>
          </w:p>
          <w:p>
            <w:pPr>
              <w:widowControl/>
              <w:spacing w:beforeLines="50" w:afterLines="50" w:line="280" w:lineRule="exact"/>
              <w:ind w:firstLine="240" w:firstLineChars="100"/>
              <w:jc w:val="both"/>
              <w:rPr>
                <w:rFonts w:asciiTheme="minorEastAsia" w:hAnsiTheme="minorEastAsia" w:eastAsiaTheme="minorEastAsia"/>
                <w:sz w:val="28"/>
                <w:szCs w:val="28"/>
              </w:rPr>
            </w:pPr>
            <w:r>
              <w:rPr>
                <w:rFonts w:hint="eastAsia" w:asciiTheme="minorEastAsia" w:hAnsiTheme="minorEastAsia" w:eastAsiaTheme="minorEastAsia"/>
                <w:sz w:val="24"/>
                <w:szCs w:val="24"/>
              </w:rPr>
              <w:t>★12、符合CE认证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1"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75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二氧化碳培养箱</w:t>
            </w:r>
          </w:p>
          <w:p>
            <w:pPr>
              <w:widowControl w:val="0"/>
              <w:jc w:val="center"/>
              <w:rPr>
                <w:rFonts w:asciiTheme="minorEastAsia" w:hAnsiTheme="minorEastAsia" w:eastAsiaTheme="minorEastAsia" w:cstheme="minorEastAsia"/>
                <w:sz w:val="24"/>
                <w:szCs w:val="24"/>
              </w:rPr>
            </w:pPr>
          </w:p>
        </w:tc>
        <w:tc>
          <w:tcPr>
            <w:tcW w:w="1290"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786" w:type="dxa"/>
          </w:tcPr>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1．品名、数量及用途</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1.1品名：直热式二氧化碳培养箱</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1.2用途：用于细胞培养</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工作条件</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2.1工作环境温度： 18-33℃；</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2.2电源: 1/N/PE AC; 230V ，50 Hz/60Hz。</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3．技术要求</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3.1箱体：</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3.1.1工作体积：不小于140升</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★3.1.2具有玻璃内门和可选纯铜内壁</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3.1.3标配搁板数目3块</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3.2温度控制</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★3.2.1温度控制范围：高于室温3℃～55℃</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★3.2.2温度控制精度 （时间）：±0.1℃</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3.2.3温度均一性: ±0.5℃</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★3.2.4温度跟踪报警：有</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★3.2.5温度显示：触摸屏</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3.2.6 保温方式：直热式</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3.3气体控制</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3.3.1二氧化碳控制范围：0～20%</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lang w:val="en-GB"/>
              </w:rPr>
              <w:t>3.3.2</w:t>
            </w:r>
            <w:r>
              <w:rPr>
                <w:rFonts w:hint="eastAsia" w:asciiTheme="minorEastAsia" w:hAnsiTheme="minorEastAsia" w:eastAsiaTheme="minorEastAsia"/>
                <w:sz w:val="24"/>
                <w:szCs w:val="24"/>
              </w:rPr>
              <w:t>二氧化碳控制精度：±0.1%</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GB"/>
              </w:rPr>
              <w:t>3.3.3</w:t>
            </w:r>
            <w:r>
              <w:rPr>
                <w:rFonts w:hint="eastAsia" w:asciiTheme="minorEastAsia" w:hAnsiTheme="minorEastAsia" w:eastAsiaTheme="minorEastAsia"/>
                <w:sz w:val="24"/>
                <w:szCs w:val="24"/>
              </w:rPr>
              <w:t>二氧化碳跟踪报警：有</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GB"/>
              </w:rPr>
              <w:t>3.3.4</w:t>
            </w:r>
            <w:r>
              <w:rPr>
                <w:rFonts w:hint="eastAsia" w:asciiTheme="minorEastAsia" w:hAnsiTheme="minorEastAsia" w:eastAsiaTheme="minorEastAsia"/>
                <w:sz w:val="24"/>
                <w:szCs w:val="24"/>
              </w:rPr>
              <w:t>二氧化碳浓度控制：TC 热导传感器或IR红外传感器</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★3.3.5  用户编程上下限可跟踪报警</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GB"/>
              </w:rPr>
              <w:t>3.4 90度</w:t>
            </w:r>
            <w:r>
              <w:rPr>
                <w:rFonts w:hint="eastAsia" w:asciiTheme="minorEastAsia" w:hAnsiTheme="minorEastAsia" w:eastAsiaTheme="minorEastAsia"/>
                <w:sz w:val="24"/>
                <w:szCs w:val="24"/>
              </w:rPr>
              <w:t>原位</w:t>
            </w:r>
            <w:r>
              <w:rPr>
                <w:rFonts w:hint="eastAsia" w:asciiTheme="minorEastAsia" w:hAnsiTheme="minorEastAsia" w:eastAsiaTheme="minorEastAsia"/>
                <w:sz w:val="24"/>
                <w:szCs w:val="24"/>
                <w:lang w:val="en-GB"/>
              </w:rPr>
              <w:t>湿热灭菌程序，可保证全部配件在位灭菌，</w:t>
            </w:r>
            <w:r>
              <w:rPr>
                <w:rFonts w:hint="eastAsia" w:asciiTheme="minorEastAsia" w:hAnsiTheme="minorEastAsia" w:eastAsiaTheme="minorEastAsia"/>
                <w:sz w:val="24"/>
                <w:szCs w:val="24"/>
              </w:rPr>
              <w:t>无需拆卸任何配件</w:t>
            </w:r>
          </w:p>
          <w:p>
            <w:pPr>
              <w:widowControl/>
              <w:spacing w:beforeLines="50" w:afterLines="50" w:line="280" w:lineRule="exact"/>
              <w:ind w:firstLine="240" w:firstLineChars="100"/>
              <w:jc w:val="both"/>
              <w:rPr>
                <w:rFonts w:asciiTheme="minorEastAsia" w:hAnsiTheme="minorEastAsia" w:eastAsiaTheme="minorEastAsia"/>
                <w:sz w:val="24"/>
                <w:szCs w:val="24"/>
                <w:lang w:val="en-GB"/>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GB"/>
              </w:rPr>
              <w:t>3.5具有程序自检功能和自动校正功能</w:t>
            </w:r>
          </w:p>
          <w:p>
            <w:pPr>
              <w:widowControl/>
              <w:spacing w:beforeLines="50" w:afterLines="50" w:line="280" w:lineRule="exact"/>
              <w:ind w:firstLine="240" w:firstLineChars="100"/>
              <w:jc w:val="both"/>
              <w:rPr>
                <w:rFonts w:asciiTheme="minorEastAsia" w:hAnsiTheme="minorEastAsia" w:eastAsiaTheme="minorEastAsia"/>
                <w:sz w:val="24"/>
                <w:szCs w:val="24"/>
                <w:lang w:val="en-GB"/>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GB"/>
              </w:rPr>
              <w:t>3.6 显示控制：触摸屏显示温度和二氧化碳浓度</w:t>
            </w:r>
          </w:p>
          <w:p>
            <w:pPr>
              <w:widowControl/>
              <w:spacing w:beforeLines="50" w:afterLines="50" w:line="280" w:lineRule="exact"/>
              <w:ind w:firstLine="240" w:firstLineChars="100"/>
              <w:jc w:val="both"/>
              <w:rPr>
                <w:rFonts w:asciiTheme="minorEastAsia" w:hAnsiTheme="minorEastAsia" w:eastAsiaTheme="minorEastAsia"/>
                <w:sz w:val="24"/>
                <w:szCs w:val="24"/>
                <w:lang w:val="en-GB"/>
              </w:rPr>
            </w:pP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GB"/>
              </w:rPr>
              <w:t>3.7 在3分钟记录一次的条件下，可自动记录15天全部运行数据。</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★3.8，水位探头报警，箱体底面水位正常低于标准水位时则提醒报警加水。</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★3.9，显示屏可设密码权限，防止重要参数更改。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1"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755" w:type="dxa"/>
          </w:tcPr>
          <w:p>
            <w:pPr>
              <w:widowControl w:val="0"/>
              <w:jc w:val="center"/>
              <w:rPr>
                <w:rFonts w:hint="eastAsia" w:eastAsia="微软雅黑"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生物安全柜</w:t>
            </w:r>
            <w:r>
              <w:rPr>
                <w:rStyle w:val="20"/>
                <w:rFonts w:hint="eastAsia"/>
                <w:lang w:val="en-US" w:eastAsia="zh-CN"/>
              </w:rPr>
              <w:t>1</w:t>
            </w:r>
          </w:p>
          <w:p>
            <w:pPr>
              <w:widowControl w:val="0"/>
              <w:jc w:val="center"/>
              <w:rPr>
                <w:rFonts w:asciiTheme="minorEastAsia" w:hAnsiTheme="minorEastAsia" w:eastAsiaTheme="minorEastAsia" w:cstheme="minorEastAsia"/>
                <w:sz w:val="24"/>
                <w:szCs w:val="24"/>
              </w:rPr>
            </w:pPr>
          </w:p>
        </w:tc>
        <w:tc>
          <w:tcPr>
            <w:tcW w:w="1290"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786" w:type="dxa"/>
          </w:tcPr>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1、气流模式:30%外排，70%循环</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★2、内部尺寸(W×D×H)：不小于 1200 x 780 x 630s mm, 柜体进深不小于610mm，前窗开口25cm左右</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3、外部尺寸(W×D×H)： 不小于1300 x1520 x 802 mm, 宽度应不大1900mm</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 、HEPA 过滤效率:最易穿透颗粒（MPPS）过滤效率高于 99.995%</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★5、工作台面材料:不锈钢一体成型可承受重量不小于50kg</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★6、噪音:≤ 67dB</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双直流变频风机控制系统，独立的进气与排气风机自动控制，平衡下降气流与外排气流，以保证持续安全的工作条件。智能直流无碳刷电机可实时监测和控制风机转速，在过滤器阻塞或线路电压波动时持续保护用户安全。</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★8、双探头反馈调节风速，准确全面地反应安全柜进气和排气风速</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★9、低速安全节能模式，前窗完全关闭后，风机可继续工作，紫外灭菌位置，下降风速自动变为30%，方便随时使用，并节约能源</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 、风速报警：两个独立式压力传感器用于检测排气和下降气流强制通风时的压力变化。当进气/ 排气或下降气流速度变化量达到20% 时，报警器将发出信号提醒用户。</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★11、前窗清洗位置：前窗玻璃可下滑到台面下方指定位置，操作者可站在安全柜外的无污染区，便于清洁安全柜玻璃窗内侧和更换灯管。</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12、侧壁采用真空设计：侧壁采用真空设计，无开孔。即使侧壁由于碰撞发生破裂，也不会造成外泄和污染</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13、红黄绿灯显示安全柜总体运行状态：绿灯正常使用，黄灯需要注意，红灯需要等待，长时间红灯需要维护。控制面板信息:时间显示，风速显示(下降风速,进风风速)，总工作时间显示，定时器，UV灯工作时间，实时显示整个柜体的状态（包括运行是否安全，是否需要检修）灯管可定时操作（0-24小时定时控制</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★14、排风 / 进风量 ( 立方米/ 小时) 585，通风量，套管连接( 立方米/ 小时) 761</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★15、生物安全柜的功耗，运行时&lt;300W，节能模式&lt; 50W</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★16、相关认证： NSF认证，YY0569-2011认证</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★17、标准.配置：主机，紫外灯，荧光灯，两个搁手架，可调高度支架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1"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755" w:type="dxa"/>
          </w:tcPr>
          <w:p>
            <w:pPr>
              <w:widowControl w:val="0"/>
              <w:jc w:val="center"/>
              <w:rPr>
                <w:rFonts w:hint="eastAsia" w:eastAsia="微软雅黑"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生物安全柜</w:t>
            </w:r>
            <w:r>
              <w:rPr>
                <w:rStyle w:val="20"/>
                <w:rFonts w:hint="eastAsia"/>
                <w:lang w:val="en-US" w:eastAsia="zh-CN"/>
              </w:rPr>
              <w:t>2</w:t>
            </w:r>
          </w:p>
          <w:p>
            <w:pPr>
              <w:widowControl w:val="0"/>
              <w:jc w:val="center"/>
              <w:rPr>
                <w:rFonts w:asciiTheme="minorEastAsia" w:hAnsiTheme="minorEastAsia" w:eastAsiaTheme="minorEastAsia" w:cstheme="minorEastAsia"/>
                <w:sz w:val="24"/>
                <w:szCs w:val="24"/>
              </w:rPr>
            </w:pPr>
          </w:p>
        </w:tc>
        <w:tc>
          <w:tcPr>
            <w:tcW w:w="1290"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786" w:type="dxa"/>
          </w:tcPr>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1、气流模式: 30%外排，70%循环</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★2、内部尺寸(W×D×H): 不小于1500×780×630mm，柜体进深不小于610mm，前窗开口25cm左右</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★3、外部尺寸(W×D×H): 不小于1600×1522×798mm,宽度不大于1600mm</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 、HEPA 过滤效率:最易穿透颗粒（MPPS）过滤效率高于 99.995%</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★5、噪音:≤ 56dB</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 、照度&gt;1280 lux</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 、排风/ 进风量 ( 立方米/ 小时) 878, 通风量，套管连接( 立方米/ 小时) 1141</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 、两个直流无碳刷电机驱动风机，独立的进气与排气风机自动控制，平衡下降气流与进气/ 排气气流，以保证持续安全的工作条件。智能直流电机可实时监测和控制风机转速，在过滤器阻塞或线路电压波动时持续保护用户安全。</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★9 、两个独立式压力传感器用于检测排气和下降气流强制通风时的压力变化。当进气/ 排气或下降气流速度变化量达到20% 时，报警器将发出信号提醒用户。</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★10 、 前窗玻璃材料:采用双层贴膜高强度安全防紫外线防爆玻璃，即使发生破裂，玻璃碎片将吸附在贴膜上不会发生飞溅，防止人身伤害</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★11 、前窗清洗位置，可以简单的将前窗下降至操作台面下方，从而彻底清洁前窗和柜体内表面，降低污染风险。</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12、 风速测定：风压来测定风速，准确全面地实时反应安全柜进气和排气风速</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★13、 前窗完全关闭后，风机可继续工作，并自动降低下降风速70%</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14、  UV灯管可定时操作（0-24小时定时控制）</w:t>
            </w:r>
          </w:p>
          <w:p>
            <w:pPr>
              <w:widowControl/>
              <w:spacing w:beforeLines="5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15、控制面板信息:时间显示，风速显示(下降风速,进风风速)，总工作时间显示，定时器，UV灯工作时间，实时显示整个柜体的状态（包括运行是否安全，是否需要检修）</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★16、 可直观显示安全柜总体运行状态，绿灯正常使用，黄灯需要注意，红灯需要等待，长时间红灯需要维护。</w:t>
            </w:r>
          </w:p>
          <w:p>
            <w:pPr>
              <w:widowControl/>
              <w:spacing w:beforeLines="5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★17、可选配活性炭过滤器轻松实现彻底消除实验中可能存在的意味。</w:t>
            </w:r>
          </w:p>
          <w:p>
            <w:pPr>
              <w:widowControl/>
              <w:spacing w:beforeLines="50" w:afterLines="50" w:line="280" w:lineRule="exact"/>
              <w:ind w:firstLine="480" w:firstLineChars="200"/>
              <w:jc w:val="both"/>
              <w:rPr>
                <w:rFonts w:asciiTheme="minorEastAsia" w:hAnsiTheme="minorEastAsia" w:eastAsiaTheme="minorEastAsia"/>
                <w:sz w:val="28"/>
                <w:szCs w:val="28"/>
              </w:rPr>
            </w:pPr>
            <w:r>
              <w:rPr>
                <w:rFonts w:hint="eastAsia" w:asciiTheme="minorEastAsia" w:hAnsiTheme="minorEastAsia" w:eastAsiaTheme="minorEastAsia"/>
                <w:sz w:val="24"/>
                <w:szCs w:val="24"/>
              </w:rPr>
              <w:t>18 、相关认证: NSF49标准认证</w:t>
            </w:r>
          </w:p>
        </w:tc>
      </w:tr>
    </w:tbl>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b/>
          <w:bCs/>
          <w:kern w:val="2"/>
          <w:sz w:val="28"/>
          <w:szCs w:val="28"/>
        </w:rPr>
      </w:pPr>
      <w:r>
        <w:rPr>
          <w:rFonts w:hint="eastAsia" w:cs="Times New Roman" w:asciiTheme="minorEastAsia" w:hAnsiTheme="minorEastAsia" w:eastAsiaTheme="minorEastAsia"/>
          <w:kern w:val="2"/>
          <w:sz w:val="28"/>
          <w:szCs w:val="28"/>
        </w:rPr>
        <w:t>（2）保修期：整个项目（包含所有分项设备）免费质保期1年，自验收合格之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b/>
          <w:bCs/>
          <w:kern w:val="2"/>
          <w:sz w:val="28"/>
          <w:szCs w:val="28"/>
        </w:rPr>
        <w:t>【备注：请投标方提供对整体项目（包含所有分项设备）的保修期的说明承诺】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eastAsia="宋体" w:asciiTheme="minorEastAsia" w:hAnsiTheme="minorEastAsia"/>
          <w:b/>
          <w:bCs/>
          <w:sz w:val="44"/>
          <w:szCs w:val="44"/>
        </w:rPr>
      </w:pPr>
      <w:bookmarkStart w:id="167" w:name="_Toc523931348"/>
      <w:bookmarkStart w:id="168"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bookmarkStart w:id="182" w:name="_GoBack"/>
      <w:bookmarkEnd w:id="182"/>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w:t>
            </w:r>
            <w:r>
              <w:rPr>
                <w:rFonts w:hint="eastAsia" w:cs="Arial" w:asciiTheme="minorEastAsia" w:hAnsiTheme="minorEastAsia" w:eastAsiaTheme="minorEastAsia"/>
                <w:bCs/>
              </w:rPr>
              <w:t>总报</w:t>
            </w:r>
            <w:r>
              <w:rPr>
                <w:rFonts w:cs="Arial" w:asciiTheme="minorEastAsia" w:hAnsiTheme="minorEastAsia" w:eastAsiaTheme="minorEastAsia"/>
                <w:bCs/>
              </w:rPr>
              <w:t>价的最低值为A值，A值为价格分的满分，即30分。其他投标人的价格分统一按照以下公式计算：投标人评标价得分=（A／该投标人评标</w:t>
            </w:r>
            <w:r>
              <w:rPr>
                <w:rFonts w:hint="eastAsia" w:cs="Arial" w:asciiTheme="minorEastAsia" w:hAnsiTheme="minorEastAsia" w:eastAsiaTheme="minorEastAsia"/>
                <w:bCs/>
              </w:rPr>
              <w:t>总报</w:t>
            </w:r>
            <w:r>
              <w:rPr>
                <w:rFonts w:cs="Arial" w:asciiTheme="minorEastAsia" w:hAnsiTheme="minorEastAsia" w:eastAsiaTheme="minorEastAsia"/>
                <w:bCs/>
              </w:rPr>
              <w:t>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分，其他0-1分。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ind w:right="-275" w:rightChars="-125"/>
              <w:jc w:val="center"/>
              <w:rPr>
                <w:rFonts w:cs="Arial" w:asciiTheme="minorEastAsia" w:hAnsiTheme="minorEastAsia" w:eastAsiaTheme="minorEastAsia"/>
                <w:bCs/>
              </w:rPr>
            </w:pPr>
          </w:p>
        </w:tc>
        <w:tc>
          <w:tcPr>
            <w:tcW w:w="5614" w:type="dxa"/>
            <w:vAlign w:val="center"/>
          </w:tcPr>
          <w:p>
            <w:pPr>
              <w:spacing w:line="360" w:lineRule="auto"/>
              <w:rPr>
                <w:rFonts w:eastAsia="宋体" w:cs="Arial" w:asciiTheme="minorEastAsia" w:hAnsiTheme="minorEastAsia"/>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分。【根据所提供整体项目（包含所有分项设备）的质保期承诺予以打分，未提供或者只提供分项设备质保期承诺的不得分】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2016年01月01日以来的类似投标产品项目业绩，每提供一个得2分，最高得10分。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10</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8"/>
    <w:p>
      <w:pPr>
        <w:pStyle w:val="2"/>
        <w:pageBreakBefore/>
        <w:rPr>
          <w:rFonts w:ascii="宋体" w:hAnsi="宋体" w:eastAsia="宋体"/>
          <w:b/>
          <w:bCs/>
          <w:sz w:val="44"/>
        </w:rPr>
      </w:pPr>
      <w:bookmarkStart w:id="169" w:name="_Toc523931349"/>
      <w:r>
        <w:rPr>
          <w:rFonts w:hint="eastAsia" w:ascii="宋体" w:hAnsi="宋体" w:eastAsia="宋体"/>
          <w:b/>
          <w:bCs/>
          <w:sz w:val="44"/>
        </w:rPr>
        <w:t>第五章  投标文件格式</w:t>
      </w:r>
      <w:bookmarkEnd w:id="169"/>
    </w:p>
    <w:p>
      <w:pPr>
        <w:jc w:val="center"/>
        <w:rPr>
          <w:rFonts w:ascii="宋体" w:hAnsi="宋体"/>
          <w:b/>
          <w:sz w:val="72"/>
        </w:rPr>
      </w:pPr>
      <w:bookmarkStart w:id="170" w:name="_Hlt26955039"/>
      <w:bookmarkEnd w:id="170"/>
      <w:bookmarkStart w:id="171" w:name="_Hlt26671244"/>
      <w:bookmarkEnd w:id="171"/>
      <w:bookmarkStart w:id="172" w:name="_Toc49090576"/>
      <w:bookmarkStart w:id="173" w:name="_Toc120614282"/>
      <w:bookmarkStart w:id="174"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5" w:name="_Toc517190894"/>
      <w:r>
        <w:rPr>
          <w:rFonts w:hint="eastAsia"/>
          <w:b/>
          <w:sz w:val="32"/>
        </w:rPr>
        <w:t>投标函格式</w:t>
      </w:r>
      <w:bookmarkEnd w:id="175"/>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6" w:name="_Toc517190895"/>
      <w:r>
        <w:rPr>
          <w:rFonts w:hint="eastAsia"/>
          <w:b/>
          <w:sz w:val="32"/>
        </w:rPr>
        <w:t>法人授权书</w:t>
      </w:r>
      <w:bookmarkEnd w:id="176"/>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7" w:name="_Hlt26955070"/>
      <w:bookmarkEnd w:id="177"/>
      <w:bookmarkStart w:id="178" w:name="_Hlt26671380"/>
      <w:bookmarkEnd w:id="178"/>
      <w:bookmarkStart w:id="179" w:name="_格式3__银行出具的资信证明"/>
      <w:bookmarkEnd w:id="179"/>
    </w:p>
    <w:p>
      <w:pPr>
        <w:pStyle w:val="3"/>
        <w:rPr>
          <w:rFonts w:asciiTheme="minorEastAsia" w:hAnsiTheme="minorEastAsia" w:eastAsiaTheme="minorEastAsia"/>
          <w:sz w:val="36"/>
        </w:rPr>
      </w:pPr>
    </w:p>
    <w:p>
      <w:pPr>
        <w:pStyle w:val="27"/>
        <w:pageBreakBefore/>
        <w:ind w:firstLine="0"/>
        <w:jc w:val="center"/>
        <w:rPr>
          <w:b/>
          <w:sz w:val="32"/>
          <w:szCs w:val="20"/>
        </w:rPr>
      </w:pPr>
      <w:bookmarkStart w:id="180" w:name="_Toc517190896"/>
      <w:r>
        <w:rPr>
          <w:rFonts w:hint="eastAsia"/>
          <w:b/>
          <w:sz w:val="32"/>
        </w:rPr>
        <w:t>开标一览表</w:t>
      </w:r>
      <w:bookmarkEnd w:id="180"/>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2"/>
    <w:bookmarkEnd w:id="173"/>
    <w:bookmarkEnd w:id="174"/>
    <w:p>
      <w:pPr>
        <w:jc w:val="center"/>
        <w:rPr>
          <w:rFonts w:ascii="Arial" w:hAnsi="Arial" w:eastAsia="宋体" w:cs="Times New Roman"/>
          <w:b/>
          <w:sz w:val="32"/>
          <w:szCs w:val="24"/>
        </w:rPr>
      </w:pPr>
      <w:bookmarkStart w:id="181"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1"/>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17F"/>
    <w:rsid w:val="00090C36"/>
    <w:rsid w:val="00092136"/>
    <w:rsid w:val="0009546A"/>
    <w:rsid w:val="000A4EF6"/>
    <w:rsid w:val="000A58FF"/>
    <w:rsid w:val="000A798D"/>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72CB4"/>
    <w:rsid w:val="00295368"/>
    <w:rsid w:val="002A4546"/>
    <w:rsid w:val="002A4DD3"/>
    <w:rsid w:val="002C36E8"/>
    <w:rsid w:val="002D2055"/>
    <w:rsid w:val="002E0FA7"/>
    <w:rsid w:val="002E598A"/>
    <w:rsid w:val="002F20E4"/>
    <w:rsid w:val="002F225B"/>
    <w:rsid w:val="002F6027"/>
    <w:rsid w:val="00300F88"/>
    <w:rsid w:val="00304B4B"/>
    <w:rsid w:val="00306735"/>
    <w:rsid w:val="0031681A"/>
    <w:rsid w:val="00323B43"/>
    <w:rsid w:val="00325FFF"/>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4273"/>
    <w:rsid w:val="004459E6"/>
    <w:rsid w:val="0044705E"/>
    <w:rsid w:val="00464BD9"/>
    <w:rsid w:val="00467C1B"/>
    <w:rsid w:val="0047430A"/>
    <w:rsid w:val="00477C2E"/>
    <w:rsid w:val="004808C6"/>
    <w:rsid w:val="004A13B2"/>
    <w:rsid w:val="004A4F2D"/>
    <w:rsid w:val="004B6315"/>
    <w:rsid w:val="004E0EEC"/>
    <w:rsid w:val="004E3402"/>
    <w:rsid w:val="004F2464"/>
    <w:rsid w:val="004F54A0"/>
    <w:rsid w:val="004F5C9E"/>
    <w:rsid w:val="004F6DEC"/>
    <w:rsid w:val="004F7103"/>
    <w:rsid w:val="00505D46"/>
    <w:rsid w:val="005129DB"/>
    <w:rsid w:val="00523B5F"/>
    <w:rsid w:val="005253AD"/>
    <w:rsid w:val="00532F1E"/>
    <w:rsid w:val="00535529"/>
    <w:rsid w:val="00551D6A"/>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5F3A1C"/>
    <w:rsid w:val="0060453F"/>
    <w:rsid w:val="006045FD"/>
    <w:rsid w:val="006073C6"/>
    <w:rsid w:val="006160DD"/>
    <w:rsid w:val="00620D2B"/>
    <w:rsid w:val="006218B4"/>
    <w:rsid w:val="006378A2"/>
    <w:rsid w:val="006411FE"/>
    <w:rsid w:val="006600C0"/>
    <w:rsid w:val="00663D89"/>
    <w:rsid w:val="00664A05"/>
    <w:rsid w:val="00680050"/>
    <w:rsid w:val="00681F07"/>
    <w:rsid w:val="00695BF8"/>
    <w:rsid w:val="006977C3"/>
    <w:rsid w:val="006A096A"/>
    <w:rsid w:val="006B0EB6"/>
    <w:rsid w:val="006B4013"/>
    <w:rsid w:val="006B6C40"/>
    <w:rsid w:val="006C6B1D"/>
    <w:rsid w:val="006D1B0D"/>
    <w:rsid w:val="006E1848"/>
    <w:rsid w:val="006E7A99"/>
    <w:rsid w:val="006F283A"/>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3235D"/>
    <w:rsid w:val="009330FF"/>
    <w:rsid w:val="00936B25"/>
    <w:rsid w:val="00937A6C"/>
    <w:rsid w:val="00944F3E"/>
    <w:rsid w:val="00953E8C"/>
    <w:rsid w:val="00954E6B"/>
    <w:rsid w:val="009569A2"/>
    <w:rsid w:val="00977D29"/>
    <w:rsid w:val="00982CE2"/>
    <w:rsid w:val="00985BBC"/>
    <w:rsid w:val="00992C71"/>
    <w:rsid w:val="00994DC6"/>
    <w:rsid w:val="0099642C"/>
    <w:rsid w:val="009A7A76"/>
    <w:rsid w:val="009B386E"/>
    <w:rsid w:val="009B43A1"/>
    <w:rsid w:val="009B4528"/>
    <w:rsid w:val="009B498C"/>
    <w:rsid w:val="009B6DA7"/>
    <w:rsid w:val="009C30A7"/>
    <w:rsid w:val="009C688D"/>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7624"/>
    <w:rsid w:val="00A719C8"/>
    <w:rsid w:val="00A74556"/>
    <w:rsid w:val="00A754E0"/>
    <w:rsid w:val="00A84971"/>
    <w:rsid w:val="00A960CD"/>
    <w:rsid w:val="00AA10B3"/>
    <w:rsid w:val="00AA278C"/>
    <w:rsid w:val="00AB3CFF"/>
    <w:rsid w:val="00AC2325"/>
    <w:rsid w:val="00AC25C7"/>
    <w:rsid w:val="00AC3CE4"/>
    <w:rsid w:val="00AD713B"/>
    <w:rsid w:val="00AE19B4"/>
    <w:rsid w:val="00AE5082"/>
    <w:rsid w:val="00AE6332"/>
    <w:rsid w:val="00AF0E8F"/>
    <w:rsid w:val="00AF3ACC"/>
    <w:rsid w:val="00AF539E"/>
    <w:rsid w:val="00AF645C"/>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60E"/>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C226C"/>
    <w:rsid w:val="00CD4D83"/>
    <w:rsid w:val="00CE18E8"/>
    <w:rsid w:val="00D1587C"/>
    <w:rsid w:val="00D25E5C"/>
    <w:rsid w:val="00D278D7"/>
    <w:rsid w:val="00D31D50"/>
    <w:rsid w:val="00D323F9"/>
    <w:rsid w:val="00D4211D"/>
    <w:rsid w:val="00D5054E"/>
    <w:rsid w:val="00D53633"/>
    <w:rsid w:val="00D56CB6"/>
    <w:rsid w:val="00D61AE7"/>
    <w:rsid w:val="00D634CC"/>
    <w:rsid w:val="00D77EC9"/>
    <w:rsid w:val="00D81D23"/>
    <w:rsid w:val="00D83690"/>
    <w:rsid w:val="00D9005C"/>
    <w:rsid w:val="00DA1746"/>
    <w:rsid w:val="00DA1FE7"/>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3AE"/>
    <w:rsid w:val="00F34B4A"/>
    <w:rsid w:val="00F34DF9"/>
    <w:rsid w:val="00F4455E"/>
    <w:rsid w:val="00F5231B"/>
    <w:rsid w:val="00F64CC8"/>
    <w:rsid w:val="00F73075"/>
    <w:rsid w:val="00F8761F"/>
    <w:rsid w:val="00F94053"/>
    <w:rsid w:val="00F94356"/>
    <w:rsid w:val="00F952C7"/>
    <w:rsid w:val="00F96BF5"/>
    <w:rsid w:val="00FA1FA5"/>
    <w:rsid w:val="00FA4F5F"/>
    <w:rsid w:val="00FA7B45"/>
    <w:rsid w:val="00FB608D"/>
    <w:rsid w:val="00FC0456"/>
    <w:rsid w:val="00FC2F94"/>
    <w:rsid w:val="00FC3104"/>
    <w:rsid w:val="00FE1E81"/>
    <w:rsid w:val="00FF44F0"/>
    <w:rsid w:val="00FF7A26"/>
    <w:rsid w:val="01046354"/>
    <w:rsid w:val="01060A9C"/>
    <w:rsid w:val="05D823C9"/>
    <w:rsid w:val="06BC0158"/>
    <w:rsid w:val="09914177"/>
    <w:rsid w:val="0D7C3718"/>
    <w:rsid w:val="0DF12A0B"/>
    <w:rsid w:val="0E514DD1"/>
    <w:rsid w:val="113E256E"/>
    <w:rsid w:val="133E140C"/>
    <w:rsid w:val="13AD0517"/>
    <w:rsid w:val="14246CF5"/>
    <w:rsid w:val="1907061A"/>
    <w:rsid w:val="1B772401"/>
    <w:rsid w:val="1D106813"/>
    <w:rsid w:val="1F7E0914"/>
    <w:rsid w:val="21A50727"/>
    <w:rsid w:val="21DE087D"/>
    <w:rsid w:val="22447EA1"/>
    <w:rsid w:val="224B6541"/>
    <w:rsid w:val="23711F72"/>
    <w:rsid w:val="24C14925"/>
    <w:rsid w:val="259E686F"/>
    <w:rsid w:val="266A01AA"/>
    <w:rsid w:val="29255BD7"/>
    <w:rsid w:val="2A011F62"/>
    <w:rsid w:val="2AF2195E"/>
    <w:rsid w:val="2B2C573C"/>
    <w:rsid w:val="2B3E100B"/>
    <w:rsid w:val="2B672793"/>
    <w:rsid w:val="2B8969FE"/>
    <w:rsid w:val="2C553E81"/>
    <w:rsid w:val="2CA561F6"/>
    <w:rsid w:val="2CB7625B"/>
    <w:rsid w:val="2CBC33C7"/>
    <w:rsid w:val="2D4E1773"/>
    <w:rsid w:val="2EEA59DD"/>
    <w:rsid w:val="2FEA502A"/>
    <w:rsid w:val="3155448B"/>
    <w:rsid w:val="33514E3B"/>
    <w:rsid w:val="33B729BA"/>
    <w:rsid w:val="39B07CBB"/>
    <w:rsid w:val="3AF33D1B"/>
    <w:rsid w:val="3B100830"/>
    <w:rsid w:val="3BDF4728"/>
    <w:rsid w:val="3DCE2FE6"/>
    <w:rsid w:val="3F603F49"/>
    <w:rsid w:val="444F51C1"/>
    <w:rsid w:val="471E728F"/>
    <w:rsid w:val="472B69ED"/>
    <w:rsid w:val="4794488F"/>
    <w:rsid w:val="47DB2D92"/>
    <w:rsid w:val="498F653E"/>
    <w:rsid w:val="4C8B2533"/>
    <w:rsid w:val="4CD01397"/>
    <w:rsid w:val="4F2F21DD"/>
    <w:rsid w:val="4FBD2E48"/>
    <w:rsid w:val="5000239A"/>
    <w:rsid w:val="510172F2"/>
    <w:rsid w:val="51A05A0A"/>
    <w:rsid w:val="547C36AE"/>
    <w:rsid w:val="54903043"/>
    <w:rsid w:val="55D617B3"/>
    <w:rsid w:val="5B2D7078"/>
    <w:rsid w:val="5B5D6205"/>
    <w:rsid w:val="5C731E0C"/>
    <w:rsid w:val="60B74066"/>
    <w:rsid w:val="62CD3F75"/>
    <w:rsid w:val="64777FA1"/>
    <w:rsid w:val="648C3F27"/>
    <w:rsid w:val="64FB6A52"/>
    <w:rsid w:val="673F43A4"/>
    <w:rsid w:val="67B062B6"/>
    <w:rsid w:val="6C2D3342"/>
    <w:rsid w:val="6C744136"/>
    <w:rsid w:val="6D5D7B56"/>
    <w:rsid w:val="738A5CD3"/>
    <w:rsid w:val="73A739E2"/>
    <w:rsid w:val="74343FEF"/>
    <w:rsid w:val="74A807E7"/>
    <w:rsid w:val="752C625D"/>
    <w:rsid w:val="793F0DE1"/>
    <w:rsid w:val="7AD04577"/>
    <w:rsid w:val="7D017F33"/>
    <w:rsid w:val="7F1C4044"/>
    <w:rsid w:val="7F764E8E"/>
    <w:rsid w:val="7FFB3B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7"/>
    <w:semiHidden/>
    <w:unhideWhenUsed/>
    <w:qFormat/>
    <w:uiPriority w:val="99"/>
    <w:rPr>
      <w:b/>
      <w:bCs/>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页眉 Char"/>
    <w:basedOn w:val="17"/>
    <w:link w:val="13"/>
    <w:qFormat/>
    <w:uiPriority w:val="99"/>
    <w:rPr>
      <w:rFonts w:ascii="Tahoma" w:hAnsi="Tahoma"/>
      <w:sz w:val="18"/>
      <w:szCs w:val="18"/>
    </w:rPr>
  </w:style>
  <w:style w:type="character" w:customStyle="1" w:styleId="24">
    <w:name w:val="页脚 Char"/>
    <w:basedOn w:val="17"/>
    <w:link w:val="12"/>
    <w:qFormat/>
    <w:uiPriority w:val="99"/>
    <w:rPr>
      <w:rFonts w:ascii="Tahoma" w:hAnsi="Tahoma"/>
      <w:sz w:val="18"/>
      <w:szCs w:val="18"/>
    </w:rPr>
  </w:style>
  <w:style w:type="character" w:customStyle="1" w:styleId="25">
    <w:name w:val="标题 1 Char"/>
    <w:basedOn w:val="17"/>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7"/>
    <w:link w:val="4"/>
    <w:qFormat/>
    <w:uiPriority w:val="0"/>
    <w:rPr>
      <w:rFonts w:ascii="Times New Roman" w:hAnsi="Times New Roman" w:eastAsia="宋体" w:cs="Times New Roman"/>
      <w:b/>
      <w:bCs/>
      <w:kern w:val="2"/>
      <w:sz w:val="32"/>
      <w:szCs w:val="32"/>
    </w:rPr>
  </w:style>
  <w:style w:type="character" w:customStyle="1" w:styleId="29">
    <w:name w:val="标题 4 Char"/>
    <w:basedOn w:val="17"/>
    <w:link w:val="6"/>
    <w:qFormat/>
    <w:uiPriority w:val="9"/>
    <w:rPr>
      <w:rFonts w:ascii="Arial" w:hAnsi="Arial" w:eastAsia="黑体" w:cs="Arial"/>
      <w:b/>
      <w:bCs/>
      <w:kern w:val="2"/>
      <w:sz w:val="28"/>
      <w:szCs w:val="28"/>
    </w:rPr>
  </w:style>
  <w:style w:type="character" w:customStyle="1" w:styleId="30">
    <w:name w:val="标题 Char1"/>
    <w:basedOn w:val="17"/>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7"/>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7"/>
    <w:semiHidden/>
    <w:qFormat/>
    <w:uiPriority w:val="99"/>
    <w:rPr>
      <w:rFonts w:ascii="宋体" w:hAnsi="Courier New" w:eastAsia="宋体" w:cs="Courier New"/>
      <w:sz w:val="21"/>
      <w:szCs w:val="21"/>
    </w:rPr>
  </w:style>
  <w:style w:type="character" w:customStyle="1" w:styleId="39">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7"/>
    <w:semiHidden/>
    <w:qFormat/>
    <w:uiPriority w:val="99"/>
    <w:rPr>
      <w:rFonts w:ascii="Tahoma" w:hAnsi="Tahoma"/>
    </w:rPr>
  </w:style>
  <w:style w:type="character" w:customStyle="1" w:styleId="45">
    <w:name w:val="批注框文本 Char"/>
    <w:basedOn w:val="17"/>
    <w:link w:val="11"/>
    <w:semiHidden/>
    <w:qFormat/>
    <w:uiPriority w:val="99"/>
    <w:rPr>
      <w:rFonts w:ascii="Tahoma" w:hAnsi="Tahoma"/>
      <w:sz w:val="18"/>
      <w:szCs w:val="18"/>
    </w:rPr>
  </w:style>
  <w:style w:type="character" w:customStyle="1" w:styleId="46">
    <w:name w:val="批注文字 Char"/>
    <w:basedOn w:val="17"/>
    <w:link w:val="8"/>
    <w:semiHidden/>
    <w:qFormat/>
    <w:uiPriority w:val="99"/>
    <w:rPr>
      <w:rFonts w:ascii="Tahoma" w:hAnsi="Tahoma"/>
    </w:rPr>
  </w:style>
  <w:style w:type="character" w:customStyle="1" w:styleId="47">
    <w:name w:val="批注主题 Char"/>
    <w:basedOn w:val="46"/>
    <w:link w:val="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62E988-C2EF-44CB-A95B-EA0D36D3B73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40</Pages>
  <Words>2790</Words>
  <Characters>15908</Characters>
  <Lines>132</Lines>
  <Paragraphs>37</Paragraphs>
  <TotalTime>11</TotalTime>
  <ScaleCrop>false</ScaleCrop>
  <LinksUpToDate>false</LinksUpToDate>
  <CharactersWithSpaces>18661</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2018-11-29T06:27:00Z</dcterms:created>
  <dc:creator>chenle</dc:creator>
  <cp:lastModifiedBy>lenovo</cp:lastModifiedBy>
  <dcterms:modified xsi:type="dcterms:W3CDTF">2019-01-08T07:10:13Z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