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项目名称：南京医科大学外贸代理服务项目</w:t>
      </w:r>
    </w:p>
    <w:p>
      <w:pPr>
        <w:pStyle w:val="27"/>
        <w:ind w:firstLine="0"/>
        <w:jc w:val="center"/>
        <w:rPr>
          <w:b/>
          <w:bCs/>
          <w:sz w:val="32"/>
        </w:rPr>
      </w:pPr>
      <w:r>
        <w:rPr>
          <w:rFonts w:hint="eastAsia"/>
          <w:b/>
          <w:bCs/>
          <w:sz w:val="32"/>
        </w:rPr>
        <w:t>项目编号：NJMUZB3012019015</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13029200"/>
      <w:bookmarkStart w:id="4" w:name="_Toc523127445"/>
      <w:bookmarkStart w:id="5" w:name="_Toc20823272"/>
      <w:bookmarkStart w:id="6" w:name="_Toc1693851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pStyle w:val="13"/>
        <w:tabs>
          <w:tab w:val="right" w:leader="dot" w:pos="8296"/>
        </w:tabs>
        <w:spacing w:line="360" w:lineRule="auto"/>
        <w:rPr>
          <w:sz w:val="24"/>
        </w:rPr>
      </w:pPr>
      <w:r>
        <w:rPr>
          <w:rFonts w:hint="eastAsia"/>
          <w:sz w:val="24"/>
          <w:szCs w:val="24"/>
        </w:rPr>
        <w:t>第七章 附件</w:t>
      </w:r>
      <w:r>
        <w:tab/>
      </w:r>
      <w:r>
        <w:rPr>
          <w:rFonts w:hint="eastAsia"/>
          <w:sz w:val="24"/>
        </w:rPr>
        <w:t>41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7"/>
        <w:ind w:firstLine="560" w:firstLineChars="200"/>
        <w:rPr>
          <w:rFonts w:asciiTheme="minorEastAsia" w:hAnsiTheme="minorEastAsia" w:eastAsiaTheme="minorEastAsia"/>
          <w:sz w:val="28"/>
          <w:szCs w:val="28"/>
        </w:rPr>
      </w:pPr>
      <w:bookmarkStart w:id="8" w:name="_Toc120614221"/>
      <w:bookmarkStart w:id="9" w:name="_Toc120614211"/>
      <w:bookmarkStart w:id="10" w:name="OLE_LINK1"/>
      <w:bookmarkStart w:id="11" w:name="_Toc16938558"/>
      <w:bookmarkStart w:id="12" w:name="_Toc20823314"/>
      <w:bookmarkStart w:id="13" w:name="_Toc444669970"/>
      <w:bookmarkStart w:id="14" w:name="_Toc479757207"/>
      <w:bookmarkStart w:id="15" w:name="_Toc513029242"/>
      <w:bookmarkStart w:id="16" w:name="OLE_LINK2"/>
      <w:r>
        <w:rPr>
          <w:rFonts w:hint="eastAsia" w:asciiTheme="minorEastAsia" w:hAnsiTheme="minorEastAsia" w:eastAsiaTheme="minorEastAsia"/>
          <w:sz w:val="28"/>
          <w:szCs w:val="28"/>
        </w:rPr>
        <w:t>南京医科大学就我校外贸代理服务商招标项目进行公开招标，为了维护招、投标的合法权益，本着“公平、公正、公开”的原则，欢迎符合招标公告资质要求的供应商前来投标。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（一）采购项目名称：南京医科大学外贸代理服务项目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（二）采购项目编号：NJMUZB3012019015</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项目概况：因教学、科研需要，我校每年要从境外进口货物（主要包含仪器设备、软件、化学及生物试剂等），其中主要是利用国家对学校和科研单位给予的科教用品免税政策，通过免税渠道进口，还有一部分是国外友人或机构以无偿赠送的方式进口。为了更好地做好教学、科研的保障工作，快速、合法地引进进口货物，提高资金投资效益，决定通过公开招标的形式确定进口货物外贸代理商。</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（二）拟选外贸代理服务商数量：</w:t>
      </w:r>
      <w:r>
        <w:rPr>
          <w:rFonts w:hint="eastAsia" w:asciiTheme="minorEastAsia" w:hAnsiTheme="minorEastAsia" w:eastAsiaTheme="minorEastAsia"/>
          <w:b/>
          <w:bCs/>
          <w:sz w:val="28"/>
          <w:szCs w:val="28"/>
          <w:highlight w:val="none"/>
        </w:rPr>
        <w:t>4家</w:t>
      </w:r>
      <w:r>
        <w:rPr>
          <w:rFonts w:hint="eastAsia" w:asciiTheme="minorEastAsia" w:hAnsiTheme="minorEastAsia" w:eastAsiaTheme="minorEastAsia"/>
          <w:sz w:val="28"/>
          <w:szCs w:val="28"/>
          <w:highlight w:val="none"/>
        </w:rPr>
        <w:t>；</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（三）服务期限：</w:t>
      </w:r>
      <w:r>
        <w:rPr>
          <w:rFonts w:hint="eastAsia" w:asciiTheme="minorEastAsia" w:hAnsiTheme="minorEastAsia" w:eastAsiaTheme="minorEastAsia"/>
          <w:b/>
          <w:bCs/>
          <w:sz w:val="28"/>
          <w:szCs w:val="28"/>
        </w:rPr>
        <w:t>叁年</w:t>
      </w:r>
      <w:r>
        <w:rPr>
          <w:rFonts w:hint="eastAsia" w:asciiTheme="minorEastAsia" w:hAnsiTheme="minorEastAsia" w:eastAsiaTheme="minorEastAsia"/>
          <w:sz w:val="28"/>
          <w:szCs w:val="28"/>
        </w:rPr>
        <w:t>（2019年6月-2022年5月）。服务合同根据最终中标的外贸代理商年度服务情况实行年度审核，代理合同一年一签，年度审核合格的单位续签下一年度的外贸代理合同；对年审不合格的代理商，学校有权终止外贸代理合同。</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（四）具体项目要求详见第三章：项目需求；</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三、投标商资格要求：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1、在中华人民共和国境内注册、具有独立法人资格、有能力提供相应的技术及服务，且具有良好的财务状况和商业信誉【提供（1）法人和授权代表</w:t>
      </w:r>
      <w:r>
        <w:rPr>
          <w:rFonts w:cs="Arial" w:asciiTheme="minorEastAsia" w:hAnsiTheme="minorEastAsia" w:eastAsiaTheme="minorEastAsia"/>
          <w:sz w:val="28"/>
          <w:szCs w:val="28"/>
        </w:rPr>
        <w:t>的身份证明</w:t>
      </w:r>
      <w:r>
        <w:rPr>
          <w:rFonts w:hint="eastAsia" w:cs="Arial" w:asciiTheme="minorEastAsia" w:hAnsiTheme="minorEastAsia" w:eastAsiaTheme="minorEastAsia"/>
          <w:sz w:val="28"/>
          <w:szCs w:val="28"/>
        </w:rPr>
        <w:t>；（2）</w:t>
      </w:r>
      <w:r>
        <w:rPr>
          <w:rFonts w:hint="eastAsia" w:asciiTheme="minorEastAsia" w:hAnsiTheme="minorEastAsia" w:eastAsiaTheme="minorEastAsia"/>
          <w:bCs/>
          <w:sz w:val="28"/>
          <w:szCs w:val="28"/>
        </w:rPr>
        <w:t>2017年度财务审计报告</w:t>
      </w:r>
      <w:r>
        <w:rPr>
          <w:rFonts w:hint="eastAsia" w:cs="Arial" w:asciiTheme="minorEastAsia" w:hAnsiTheme="minorEastAsia" w:eastAsiaTheme="minorEastAsia"/>
          <w:sz w:val="28"/>
          <w:szCs w:val="28"/>
        </w:rPr>
        <w:t>（成立不满一年不需提供）】；</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2、需提供企业法人营业执照副本复印件、组织机构代码证复印件、税务登记证复印件（如果三证合一，则提供加载统一社会信用代码的营业执照）（以上资料开标时提供原件备查）；</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3、有依法缴纳税收和社会保障资金的良好记录，提供相关证明材料</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4、投标人近三年内在经营活动中没有违法违规记录，</w:t>
      </w:r>
      <w:r>
        <w:rPr>
          <w:rFonts w:cs="Arial" w:asciiTheme="minorEastAsia" w:hAnsiTheme="minorEastAsia" w:eastAsiaTheme="minorEastAsia"/>
          <w:sz w:val="28"/>
          <w:szCs w:val="28"/>
        </w:rPr>
        <w:t>提供</w:t>
      </w:r>
      <w:r>
        <w:rPr>
          <w:rFonts w:hint="eastAsia" w:cs="Arial" w:asciiTheme="minorEastAsia" w:hAnsiTheme="minorEastAsia" w:eastAsiaTheme="minorEastAsia"/>
          <w:sz w:val="28"/>
          <w:szCs w:val="28"/>
        </w:rPr>
        <w:t>书面</w:t>
      </w:r>
      <w:r>
        <w:rPr>
          <w:rFonts w:cs="Arial" w:asciiTheme="minorEastAsia" w:hAnsiTheme="minorEastAsia" w:eastAsiaTheme="minorEastAsia"/>
          <w:sz w:val="28"/>
          <w:szCs w:val="28"/>
        </w:rPr>
        <w:t>声明</w:t>
      </w:r>
      <w:r>
        <w:rPr>
          <w:rFonts w:hint="eastAsia" w:cs="Arial" w:asciiTheme="minorEastAsia" w:hAnsiTheme="minorEastAsia" w:eastAsiaTheme="minorEastAsia"/>
          <w:sz w:val="28"/>
          <w:szCs w:val="28"/>
        </w:rPr>
        <w:t>；</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5、投标人须提供在“信用中国”（www.creditchina.gov.cn）或“诚信江苏”（www.jscredit.gov.cn）或中国政府采购网（www.ccgp.gov.cn）查询的、自本采购公告发布之日至投标截止前的信用记录的截图（截图须加盖公章）；</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其他资格要求：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1、具有相应代理进出口资格及代理事务中所需的技术和服务能力,须提供《对外贸易经营者备案登记表》复印件（加盖公章）；</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2、投标人需严格执行国家进出口法规，包括海关总署有关进出口货物的条例和规定，具备海关及商检部门的登记备案证明文件；</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b/>
          <w:sz w:val="28"/>
          <w:szCs w:val="28"/>
        </w:rPr>
      </w:pPr>
      <w:r>
        <w:rPr>
          <w:rFonts w:hint="eastAsia" w:cs="Arial"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4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numPr>
          <w:ilvl w:val="0"/>
          <w:numId w:val="3"/>
        </w:num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投标报名要求</w:t>
      </w:r>
    </w:p>
    <w:p>
      <w:pPr>
        <w:spacing w:beforeLines="50" w:afterLines="50" w:line="400" w:lineRule="exact"/>
        <w:ind w:firstLine="720"/>
        <w:rPr>
          <w:rFonts w:asciiTheme="minorEastAsia" w:hAnsiTheme="minorEastAsia" w:eastAsiaTheme="minorEastAsia"/>
          <w:sz w:val="28"/>
          <w:szCs w:val="28"/>
        </w:rPr>
      </w:pPr>
      <w:r>
        <w:rPr>
          <w:rFonts w:hint="eastAsia" w:asciiTheme="minorEastAsia" w:hAnsiTheme="minorEastAsia" w:eastAsiaTheme="minorEastAsia"/>
          <w:b/>
          <w:sz w:val="28"/>
          <w:szCs w:val="28"/>
        </w:rPr>
        <w:t>（1）</w:t>
      </w:r>
      <w:r>
        <w:rPr>
          <w:rFonts w:hint="eastAsia" w:asciiTheme="minorEastAsia" w:hAnsiTheme="minorEastAsia" w:eastAsiaTheme="minorEastAsia"/>
          <w:sz w:val="28"/>
          <w:szCs w:val="28"/>
        </w:rPr>
        <w:t>潜在供应商如确定参加投标，请务必于</w:t>
      </w:r>
      <w:r>
        <w:rPr>
          <w:rFonts w:hint="eastAsia" w:asciiTheme="minorEastAsia" w:hAnsiTheme="minorEastAsia" w:eastAsiaTheme="minorEastAsia"/>
          <w:sz w:val="28"/>
          <w:szCs w:val="28"/>
          <w:highlight w:val="none"/>
        </w:rPr>
        <w:t>201</w:t>
      </w:r>
      <w:r>
        <w:rPr>
          <w:rFonts w:hint="eastAsia" w:asciiTheme="minorEastAsia" w:hAnsiTheme="minorEastAsia" w:eastAsiaTheme="minorEastAsia"/>
          <w:sz w:val="28"/>
          <w:szCs w:val="28"/>
          <w:highlight w:val="none"/>
          <w:lang w:val="en-US" w:eastAsia="zh-CN"/>
        </w:rPr>
        <w:t>9</w:t>
      </w:r>
      <w:r>
        <w:rPr>
          <w:rFonts w:hint="eastAsia" w:asciiTheme="minorEastAsia" w:hAnsiTheme="minorEastAsia" w:eastAsiaTheme="minorEastAsia"/>
          <w:sz w:val="28"/>
          <w:szCs w:val="28"/>
          <w:highlight w:val="none"/>
        </w:rPr>
        <w:t>年</w:t>
      </w:r>
      <w:r>
        <w:rPr>
          <w:rFonts w:hint="eastAsia" w:asciiTheme="minorEastAsia" w:hAnsiTheme="minorEastAsia" w:eastAsiaTheme="minorEastAsia"/>
          <w:sz w:val="28"/>
          <w:szCs w:val="28"/>
          <w:highlight w:val="none"/>
          <w:lang w:val="en-US" w:eastAsia="zh-CN"/>
        </w:rPr>
        <w:t>5</w:t>
      </w:r>
      <w:r>
        <w:rPr>
          <w:rFonts w:hint="eastAsia" w:asciiTheme="minorEastAsia" w:hAnsiTheme="minorEastAsia" w:eastAsiaTheme="minorEastAsia"/>
          <w:sz w:val="28"/>
          <w:szCs w:val="28"/>
          <w:highlight w:val="none"/>
        </w:rPr>
        <w:t>月</w:t>
      </w:r>
      <w:r>
        <w:rPr>
          <w:rFonts w:hint="eastAsia" w:asciiTheme="minorEastAsia" w:hAnsiTheme="minorEastAsia" w:eastAsiaTheme="minorEastAsia"/>
          <w:sz w:val="28"/>
          <w:szCs w:val="28"/>
          <w:highlight w:val="none"/>
          <w:lang w:val="en-US" w:eastAsia="zh-CN"/>
        </w:rPr>
        <w:t>10</w:t>
      </w:r>
      <w:r>
        <w:rPr>
          <w:rFonts w:hint="eastAsia" w:asciiTheme="minorEastAsia" w:hAnsiTheme="minorEastAsia" w:eastAsiaTheme="minorEastAsia"/>
          <w:sz w:val="28"/>
          <w:szCs w:val="28"/>
          <w:highlight w:val="none"/>
        </w:rPr>
        <w:t>日14时00分前将“报名投标确认函”（格式见招标文件第七章“附件”）</w:t>
      </w:r>
      <w:r>
        <w:rPr>
          <w:rFonts w:hint="eastAsia" w:asciiTheme="minorEastAsia" w:hAnsiTheme="minorEastAsia" w:eastAsiaTheme="minorEastAsia"/>
          <w:sz w:val="28"/>
          <w:szCs w:val="28"/>
        </w:rPr>
        <w:t>填写完整，加盖单位公章扫描并发送电子邮件至以下邮箱：</w:t>
      </w:r>
      <w:r>
        <w:fldChar w:fldCharType="begin"/>
      </w:r>
      <w:r>
        <w:instrText xml:space="preserve"> HYPERLINK "mailto:cgk@ntu.edu.cn。如潜在供应商未按上述要求操作，将自行承担所产生的风险。" </w:instrText>
      </w:r>
      <w:r>
        <w:fldChar w:fldCharType="separate"/>
      </w:r>
      <w:r>
        <w:rPr>
          <w:rFonts w:hint="eastAsia" w:asciiTheme="minorEastAsia" w:hAnsiTheme="minorEastAsia" w:eastAsiaTheme="minorEastAsia"/>
          <w:sz w:val="28"/>
          <w:szCs w:val="28"/>
        </w:rPr>
        <w:t>824219693@qq.com。如潜在供应商未按上述要求操作，将自行承担所产生的风险。</w:t>
      </w:r>
      <w:r>
        <w:rPr>
          <w:rFonts w:hint="eastAsia" w:asciiTheme="minorEastAsia" w:hAnsiTheme="minorEastAsia" w:eastAsiaTheme="minorEastAsia"/>
          <w:sz w:val="28"/>
          <w:szCs w:val="28"/>
        </w:rPr>
        <w:fldChar w:fldCharType="end"/>
      </w:r>
    </w:p>
    <w:p>
      <w:pPr>
        <w:spacing w:beforeLines="50" w:afterLines="50" w:line="400" w:lineRule="exact"/>
        <w:ind w:firstLine="843" w:firstLineChars="300"/>
        <w:rPr>
          <w:rFonts w:asciiTheme="minorEastAsia" w:hAnsiTheme="minorEastAsia" w:eastAsiaTheme="minorEastAsia"/>
          <w:sz w:val="24"/>
          <w:szCs w:val="24"/>
        </w:rPr>
      </w:pPr>
      <w:r>
        <w:rPr>
          <w:rFonts w:hint="eastAsia" w:asciiTheme="minorEastAsia" w:hAnsiTheme="minorEastAsia" w:eastAsiaTheme="minorEastAsia"/>
          <w:b/>
          <w:bCs/>
          <w:sz w:val="28"/>
          <w:szCs w:val="28"/>
        </w:rPr>
        <w:t>（2）报名联系人：</w:t>
      </w:r>
      <w:r>
        <w:rPr>
          <w:rFonts w:hint="eastAsia" w:asciiTheme="minorEastAsia" w:hAnsiTheme="minorEastAsia" w:eastAsiaTheme="minorEastAsia"/>
          <w:sz w:val="28"/>
          <w:szCs w:val="28"/>
        </w:rPr>
        <w:t>陈老师         电话：025-86868572</w:t>
      </w:r>
    </w:p>
    <w:p>
      <w:pPr>
        <w:numPr>
          <w:ilvl w:val="0"/>
          <w:numId w:val="4"/>
        </w:num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16</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6日上午9:15前（北京时间）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w:t>
      </w:r>
      <w:r>
        <w:rPr>
          <w:rFonts w:hint="eastAsia" w:asciiTheme="minorEastAsia" w:hAnsiTheme="minorEastAsia" w:eastAsiaTheme="minorEastAsia"/>
          <w:sz w:val="24"/>
          <w:szCs w:val="24"/>
          <w:highlight w:val="none"/>
        </w:rPr>
        <w:t>6日上午9:15（北京时间）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b/>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20823274"/>
      <w:bookmarkStart w:id="20" w:name="_Toc120614213"/>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20823275"/>
      <w:bookmarkStart w:id="23" w:name="_Toc120614214"/>
      <w:bookmarkStart w:id="24" w:name="_Toc16938519"/>
      <w:bookmarkStart w:id="25" w:name="_Toc513029203"/>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462564067"/>
      <w:bookmarkStart w:id="38" w:name="_Toc16938523"/>
      <w:bookmarkStart w:id="39" w:name="_Toc20823279"/>
      <w:bookmarkStart w:id="40" w:name="_Toc513029207"/>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120614215"/>
      <w:bookmarkStart w:id="42" w:name="_Toc16938525"/>
      <w:bookmarkStart w:id="43" w:name="_Toc20823281"/>
      <w:bookmarkStart w:id="44" w:name="_Toc513029209"/>
      <w:bookmarkStart w:id="45" w:name="_Toc517190883"/>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highlight w:val="none"/>
        </w:rPr>
      </w:pPr>
      <w:r>
        <w:rPr>
          <w:rFonts w:hint="eastAsia"/>
          <w:sz w:val="28"/>
          <w:szCs w:val="28"/>
          <w:highlight w:val="none"/>
        </w:rPr>
        <w:t>（6）拟签订的合同文本</w:t>
      </w:r>
    </w:p>
    <w:p>
      <w:pPr>
        <w:pStyle w:val="27"/>
        <w:rPr>
          <w:sz w:val="28"/>
          <w:szCs w:val="28"/>
          <w:highlight w:val="none"/>
        </w:rPr>
      </w:pPr>
      <w:r>
        <w:rPr>
          <w:rFonts w:hint="eastAsia"/>
          <w:sz w:val="28"/>
          <w:szCs w:val="28"/>
          <w:highlight w:val="none"/>
        </w:rPr>
        <w:t>（7）附件</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513029211"/>
      <w:bookmarkStart w:id="50" w:name="_Toc462564070"/>
      <w:bookmarkStart w:id="51" w:name="_Toc20823283"/>
      <w:bookmarkStart w:id="52" w:name="_Toc16938527"/>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16938528"/>
      <w:bookmarkStart w:id="54" w:name="_Toc462564071"/>
      <w:bookmarkStart w:id="55" w:name="_Toc513029212"/>
      <w:bookmarkStart w:id="56" w:name="_Toc20823284"/>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3029213"/>
      <w:bookmarkStart w:id="58" w:name="_Toc20823285"/>
      <w:bookmarkStart w:id="59" w:name="_Toc517190884"/>
      <w:bookmarkStart w:id="60" w:name="_Toc120614216"/>
      <w:bookmarkStart w:id="61" w:name="_Toc16938529"/>
      <w:bookmarkStart w:id="62" w:name="_Toc462564072"/>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9"/>
        <w:spacing w:line="400" w:lineRule="exact"/>
        <w:ind w:firstLine="560" w:firstLineChars="200"/>
        <w:rPr>
          <w:rFonts w:ascii="Arial" w:hAnsi="Arial" w:eastAsia="宋体" w:cs="Times New Roman"/>
          <w:kern w:val="0"/>
          <w:sz w:val="28"/>
          <w:szCs w:val="28"/>
          <w:highlight w:val="none"/>
        </w:rPr>
      </w:pPr>
      <w:r>
        <w:rPr>
          <w:rFonts w:hint="eastAsia" w:ascii="Arial" w:hAnsi="Arial" w:eastAsia="宋体" w:cs="Times New Roman"/>
          <w:kern w:val="0"/>
          <w:sz w:val="28"/>
          <w:szCs w:val="28"/>
          <w:highlight w:val="none"/>
        </w:rPr>
        <w:t>10.1投标人编写的投标文件应包括以下几个部分:（复印件需加盖公章，原件备查，必须注意复印件的清晰度，如有虚假，即为无效标）</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（1）目录索引</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（2）投标函</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（3）开标一览表</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（4）投标人资格证明文件</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（5）针对外贸代理的工作方案</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（6）与高校的合作情况</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（7）业务负责人个人有效资质证书及从业年限</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（8）2016~2018年度办理免税商检等业务能力及经验</w:t>
      </w:r>
    </w:p>
    <w:p>
      <w:pPr>
        <w:numPr>
          <w:ilvl w:val="0"/>
          <w:numId w:val="5"/>
        </w:num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投标人的综合实力</w:t>
      </w:r>
    </w:p>
    <w:p>
      <w:pPr>
        <w:numPr>
          <w:ilvl w:val="0"/>
          <w:numId w:val="5"/>
        </w:num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银行出具授信额度和资信证明</w:t>
      </w:r>
    </w:p>
    <w:p>
      <w:pPr>
        <w:spacing w:line="360" w:lineRule="auto"/>
        <w:ind w:firstLine="560" w:firstLineChars="200"/>
        <w:rPr>
          <w:rFonts w:ascii="Arial" w:hAnsi="Arial" w:eastAsia="宋体" w:cs="Times New Roman"/>
          <w:sz w:val="28"/>
          <w:szCs w:val="28"/>
          <w:highlight w:val="none"/>
        </w:rPr>
      </w:pPr>
      <w:r>
        <w:rPr>
          <w:rFonts w:hint="eastAsia" w:ascii="Arial" w:hAnsi="Arial" w:eastAsia="宋体" w:cs="Times New Roman"/>
          <w:sz w:val="28"/>
          <w:szCs w:val="28"/>
          <w:highlight w:val="none"/>
        </w:rPr>
        <w:t>（11）招标文件要求或评分细则须提供的佐证材料。</w:t>
      </w:r>
    </w:p>
    <w:p>
      <w:pPr>
        <w:pStyle w:val="27"/>
        <w:rPr>
          <w:sz w:val="28"/>
          <w:szCs w:val="28"/>
          <w:highlight w:val="none"/>
        </w:rPr>
      </w:pPr>
      <w:r>
        <w:rPr>
          <w:rFonts w:hint="eastAsia"/>
          <w:sz w:val="28"/>
          <w:szCs w:val="28"/>
          <w:highlight w:val="none"/>
        </w:rPr>
        <w:t>10.2投标人应将投标文件按顺序装订成册，并编制投标文件资料目录，提倡采用胶装方式装订。</w:t>
      </w:r>
    </w:p>
    <w:p>
      <w:pPr>
        <w:pStyle w:val="27"/>
        <w:rPr>
          <w:b/>
          <w:bCs/>
          <w:sz w:val="28"/>
          <w:szCs w:val="28"/>
        </w:rPr>
      </w:pPr>
      <w:bookmarkStart w:id="71" w:name="_Hlt26670360"/>
      <w:bookmarkEnd w:id="71"/>
      <w:bookmarkStart w:id="72" w:name="_Hlt26668975"/>
      <w:bookmarkEnd w:id="72"/>
      <w:bookmarkStart w:id="73" w:name="_Hlt26954838"/>
      <w:bookmarkEnd w:id="73"/>
      <w:bookmarkStart w:id="74" w:name="_Toc14577357"/>
      <w:bookmarkStart w:id="75" w:name="_Toc513029219"/>
      <w:bookmarkStart w:id="76" w:name="_Toc4909050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11.3投标人除必须具有履行合同所需提供的服务能力外，还必须具备相应的财务、技术方面的能力。</w:t>
      </w:r>
    </w:p>
    <w:p>
      <w:pPr>
        <w:pStyle w:val="27"/>
        <w:rPr>
          <w:sz w:val="28"/>
          <w:szCs w:val="28"/>
        </w:rPr>
      </w:pPr>
      <w:r>
        <w:rPr>
          <w:rFonts w:hint="eastAsia"/>
          <w:sz w:val="28"/>
          <w:szCs w:val="28"/>
        </w:rPr>
        <w:t>11.4投标人应提交根据采购项目要求提供的证明服务质量合格以及符合招标文件规定的证明文件。</w:t>
      </w:r>
    </w:p>
    <w:p>
      <w:pPr>
        <w:pStyle w:val="27"/>
        <w:rPr>
          <w:sz w:val="28"/>
          <w:szCs w:val="28"/>
        </w:rPr>
      </w:pPr>
      <w:r>
        <w:rPr>
          <w:rFonts w:hint="eastAsia"/>
          <w:sz w:val="28"/>
          <w:szCs w:val="28"/>
        </w:rPr>
        <w:t>11.5证明投标人所提供服务与招标文件的要求相一致的文件可以是样品、手册、图纸、文字资料和数据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标人应按照招标文件规定格式填报报价表</w:t>
      </w:r>
      <w:bookmarkStart w:id="85" w:name="_Hlt26670399"/>
      <w:bookmarkEnd w:id="85"/>
      <w:r>
        <w:rPr>
          <w:rFonts w:hint="eastAsia"/>
          <w:sz w:val="28"/>
          <w:szCs w:val="28"/>
        </w:rPr>
        <w:t>。每项服务等只允许有一个报价，任何有选择的报价将不予接受。</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highlight w:val="none"/>
        </w:rPr>
      </w:pPr>
      <w:r>
        <w:rPr>
          <w:rFonts w:hint="eastAsia"/>
          <w:sz w:val="28"/>
          <w:szCs w:val="28"/>
          <w:highlight w:val="none"/>
        </w:rPr>
        <w:t>招标报价采用总承包方式，投标人的报价应包括包括银行开证与付汇手续费、办理免表相关费用、国内运杂费（港口至采购人目的现场运保费用）、报关费、港杂费用、海关 监管费、办理商检相关费用、动植检、卫检、办理各项证书等一切费用以及外贸代理业务服务费等费用。招标文件中另有规定的除外。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b/>
          <w:bCs/>
          <w:sz w:val="28"/>
          <w:szCs w:val="28"/>
        </w:rPr>
      </w:pPr>
      <w:bookmarkStart w:id="86" w:name="_Hlt26954848"/>
      <w:bookmarkEnd w:id="86"/>
      <w:bookmarkStart w:id="87" w:name="_Hlt26670482"/>
      <w:bookmarkEnd w:id="87"/>
      <w:bookmarkStart w:id="88" w:name="_Hlt26954731"/>
      <w:bookmarkEnd w:id="88"/>
      <w:bookmarkStart w:id="89" w:name="_Hlt26954846"/>
      <w:bookmarkEnd w:id="89"/>
      <w:bookmarkStart w:id="90" w:name="_Hlt26670486"/>
      <w:bookmarkEnd w:id="90"/>
      <w:r>
        <w:rPr>
          <w:rFonts w:hint="eastAsia"/>
          <w:b/>
          <w:bCs/>
          <w:sz w:val="28"/>
          <w:szCs w:val="28"/>
        </w:rPr>
        <w:t>13、技术参数响应及偏离表和投标服务说明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对招标文件中项目条款要求逐项作出响应或偏离，并说明原因；</w:t>
      </w:r>
    </w:p>
    <w:p>
      <w:pPr>
        <w:pStyle w:val="27"/>
        <w:rPr>
          <w:rFonts w:cs="宋体"/>
          <w:sz w:val="28"/>
          <w:szCs w:val="28"/>
          <w:lang w:val="zh-CN"/>
        </w:rPr>
      </w:pPr>
      <w:r>
        <w:rPr>
          <w:rFonts w:hint="eastAsia" w:cs="宋体"/>
          <w:sz w:val="28"/>
          <w:szCs w:val="28"/>
          <w:lang w:val="zh-CN"/>
        </w:rPr>
        <w:t>13.2投标人认为需要的其他技术服务文件或说明。</w:t>
      </w:r>
    </w:p>
    <w:p>
      <w:pPr>
        <w:pStyle w:val="27"/>
        <w:rPr>
          <w:b/>
          <w:bCs/>
          <w:sz w:val="28"/>
          <w:szCs w:val="28"/>
        </w:rPr>
      </w:pPr>
      <w:r>
        <w:rPr>
          <w:rFonts w:hint="eastAsia"/>
          <w:b/>
          <w:bCs/>
          <w:sz w:val="28"/>
          <w:szCs w:val="28"/>
        </w:rPr>
        <w:t>14、服务承诺及服务人员的情况介绍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提供投标人有关服务的管理制度、服务人员的数量、素质、技术水平及服务的反应能力；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1" w:name="_Toc49090510"/>
      <w:bookmarkStart w:id="92"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1"/>
      <w:bookmarkEnd w:id="92"/>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3" w:name="_Hlt26954739"/>
      <w:bookmarkEnd w:id="93"/>
      <w:bookmarkStart w:id="94" w:name="_Hlt26670489"/>
      <w:bookmarkEnd w:id="94"/>
      <w:bookmarkStart w:id="95" w:name="_Hlt26954734"/>
      <w:bookmarkEnd w:id="95"/>
      <w:bookmarkStart w:id="96" w:name="_Hlt26954850"/>
      <w:bookmarkEnd w:id="96"/>
      <w:bookmarkStart w:id="97" w:name="_Hlt26954852"/>
      <w:bookmarkEnd w:id="97"/>
      <w:bookmarkStart w:id="98" w:name="_Toc49090512"/>
      <w:bookmarkStart w:id="99" w:name="_Toc14577361"/>
      <w:r>
        <w:rPr>
          <w:rFonts w:hint="eastAsia"/>
          <w:b/>
          <w:bCs/>
          <w:sz w:val="28"/>
          <w:szCs w:val="28"/>
        </w:rPr>
        <w:t>17、投标文件份数和签署</w:t>
      </w:r>
      <w:bookmarkEnd w:id="98"/>
      <w:bookmarkEnd w:id="99"/>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0" w:name="_Toc16938540"/>
      <w:bookmarkStart w:id="101" w:name="_Toc20823296"/>
      <w:bookmarkStart w:id="102" w:name="_Toc513029224"/>
      <w:bookmarkStart w:id="103" w:name="_Toc120614217"/>
      <w:bookmarkStart w:id="104" w:name="_Toc517190885"/>
      <w:r>
        <w:rPr>
          <w:rFonts w:hint="eastAsia"/>
          <w:b/>
          <w:sz w:val="28"/>
          <w:szCs w:val="28"/>
        </w:rPr>
        <w:t>四、投标文件的递交</w:t>
      </w:r>
      <w:bookmarkEnd w:id="100"/>
      <w:bookmarkEnd w:id="101"/>
      <w:bookmarkEnd w:id="102"/>
      <w:bookmarkEnd w:id="103"/>
      <w:bookmarkEnd w:id="104"/>
    </w:p>
    <w:p>
      <w:pPr>
        <w:pStyle w:val="27"/>
        <w:rPr>
          <w:b/>
          <w:bCs/>
          <w:sz w:val="28"/>
          <w:szCs w:val="28"/>
        </w:rPr>
      </w:pPr>
      <w:bookmarkStart w:id="105" w:name="_Toc462564084"/>
      <w:bookmarkStart w:id="106" w:name="_Toc16938541"/>
      <w:bookmarkStart w:id="107" w:name="_Toc20823297"/>
      <w:bookmarkStart w:id="108" w:name="_Toc513029225"/>
      <w:r>
        <w:rPr>
          <w:rFonts w:hint="eastAsia"/>
          <w:b/>
          <w:bCs/>
          <w:sz w:val="28"/>
          <w:szCs w:val="28"/>
        </w:rPr>
        <w:t>18、投标文件的密封和标记</w:t>
      </w:r>
      <w:bookmarkEnd w:id="105"/>
      <w:bookmarkEnd w:id="106"/>
      <w:bookmarkEnd w:id="107"/>
      <w:bookmarkEnd w:id="108"/>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09" w:name="_Toc513029226"/>
      <w:bookmarkStart w:id="110" w:name="_Toc16938542"/>
      <w:bookmarkStart w:id="111" w:name="_Toc20823298"/>
      <w:r>
        <w:rPr>
          <w:rFonts w:hint="eastAsia"/>
          <w:b/>
          <w:bCs/>
          <w:sz w:val="28"/>
          <w:szCs w:val="28"/>
        </w:rPr>
        <w:t>19、投标截止</w:t>
      </w:r>
      <w:bookmarkEnd w:id="109"/>
      <w:bookmarkEnd w:id="110"/>
      <w:bookmarkEnd w:id="111"/>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2" w:name="_Toc16938543"/>
      <w:bookmarkStart w:id="113" w:name="_Toc20823299"/>
      <w:bookmarkStart w:id="114" w:name="_Toc513029227"/>
      <w:r>
        <w:rPr>
          <w:rFonts w:hint="eastAsia"/>
          <w:b/>
          <w:bCs/>
          <w:sz w:val="28"/>
          <w:szCs w:val="28"/>
        </w:rPr>
        <w:t>20、投标文件</w:t>
      </w:r>
      <w:bookmarkEnd w:id="112"/>
      <w:bookmarkEnd w:id="113"/>
      <w:bookmarkEnd w:id="114"/>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15" w:name="_Toc16938544"/>
      <w:bookmarkStart w:id="116" w:name="_Toc20823300"/>
      <w:bookmarkStart w:id="117" w:name="_Toc513029228"/>
      <w:r>
        <w:rPr>
          <w:rFonts w:hint="eastAsia"/>
          <w:b/>
          <w:bCs/>
          <w:sz w:val="28"/>
          <w:szCs w:val="28"/>
        </w:rPr>
        <w:t>21、投标文件的修改和撤回</w:t>
      </w:r>
      <w:bookmarkEnd w:id="115"/>
      <w:bookmarkEnd w:id="116"/>
      <w:bookmarkEnd w:id="117"/>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18" w:name="_Toc20823301"/>
      <w:bookmarkStart w:id="119" w:name="_Toc517190886"/>
      <w:bookmarkStart w:id="120" w:name="_Toc120614218"/>
      <w:bookmarkStart w:id="121" w:name="_Toc513029229"/>
      <w:bookmarkStart w:id="122" w:name="_Toc16938545"/>
      <w:r>
        <w:rPr>
          <w:rFonts w:hint="eastAsia"/>
          <w:b/>
          <w:sz w:val="28"/>
          <w:szCs w:val="28"/>
        </w:rPr>
        <w:t>五、开标与评标</w:t>
      </w:r>
      <w:bookmarkEnd w:id="118"/>
      <w:bookmarkEnd w:id="119"/>
      <w:bookmarkEnd w:id="120"/>
      <w:bookmarkEnd w:id="121"/>
      <w:bookmarkEnd w:id="122"/>
    </w:p>
    <w:p>
      <w:pPr>
        <w:pStyle w:val="27"/>
        <w:rPr>
          <w:b/>
          <w:bCs/>
          <w:sz w:val="28"/>
          <w:szCs w:val="28"/>
        </w:rPr>
      </w:pPr>
      <w:bookmarkStart w:id="123" w:name="_Toc513029230"/>
      <w:bookmarkStart w:id="124" w:name="_Toc16938546"/>
      <w:bookmarkStart w:id="125" w:name="_Toc20823302"/>
      <w:r>
        <w:rPr>
          <w:rFonts w:hint="eastAsia"/>
          <w:b/>
          <w:bCs/>
          <w:sz w:val="28"/>
          <w:szCs w:val="28"/>
        </w:rPr>
        <w:t>22、开标</w:t>
      </w:r>
      <w:bookmarkEnd w:id="123"/>
      <w:bookmarkEnd w:id="124"/>
      <w:bookmarkEnd w:id="125"/>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26" w:name="_Toc20823303"/>
      <w:bookmarkStart w:id="127" w:name="_Toc16938547"/>
      <w:bookmarkStart w:id="128" w:name="_Toc513029231"/>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26"/>
    <w:bookmarkEnd w:id="127"/>
    <w:bookmarkEnd w:id="128"/>
    <w:p>
      <w:pPr>
        <w:pStyle w:val="27"/>
        <w:rPr>
          <w:b/>
          <w:bCs/>
          <w:sz w:val="28"/>
          <w:szCs w:val="28"/>
        </w:rPr>
      </w:pPr>
      <w:bookmarkStart w:id="129" w:name="_Toc16938548"/>
      <w:bookmarkStart w:id="130" w:name="_Toc20823304"/>
      <w:bookmarkStart w:id="131" w:name="_Toc513029232"/>
      <w:r>
        <w:rPr>
          <w:rFonts w:hint="eastAsia"/>
          <w:b/>
          <w:bCs/>
          <w:sz w:val="28"/>
          <w:szCs w:val="28"/>
        </w:rPr>
        <w:t>24．投标的澄清</w:t>
      </w:r>
      <w:bookmarkEnd w:id="129"/>
      <w:bookmarkEnd w:id="130"/>
      <w:bookmarkEnd w:id="131"/>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2" w:name="_Toc513029234"/>
      <w:bookmarkStart w:id="133" w:name="_Toc20823306"/>
      <w:bookmarkStart w:id="134" w:name="_Toc16938550"/>
      <w:r>
        <w:rPr>
          <w:rFonts w:hint="eastAsia"/>
          <w:b/>
          <w:bCs/>
          <w:sz w:val="28"/>
          <w:szCs w:val="28"/>
        </w:rPr>
        <w:t>25、</w:t>
      </w:r>
      <w:bookmarkEnd w:id="132"/>
      <w:bookmarkEnd w:id="133"/>
      <w:bookmarkEnd w:id="134"/>
      <w:r>
        <w:rPr>
          <w:rFonts w:hint="eastAsia"/>
          <w:b/>
          <w:bCs/>
          <w:sz w:val="28"/>
          <w:szCs w:val="28"/>
        </w:rPr>
        <w:t>无效投标条款和废标条款</w:t>
      </w:r>
    </w:p>
    <w:p>
      <w:pPr>
        <w:pStyle w:val="27"/>
        <w:rPr>
          <w:bCs/>
          <w:sz w:val="28"/>
          <w:szCs w:val="28"/>
        </w:rPr>
      </w:pPr>
      <w:bookmarkStart w:id="135" w:name="_Toc16938551"/>
      <w:bookmarkStart w:id="136" w:name="_Toc513029235"/>
      <w:bookmarkStart w:id="137"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38" w:name="_Toc120614219"/>
      <w:bookmarkStart w:id="139" w:name="_Toc517190887"/>
      <w:r>
        <w:rPr>
          <w:rFonts w:hint="eastAsia"/>
          <w:b/>
          <w:sz w:val="28"/>
          <w:szCs w:val="28"/>
        </w:rPr>
        <w:t>六、</w:t>
      </w:r>
      <w:bookmarkEnd w:id="135"/>
      <w:bookmarkEnd w:id="136"/>
      <w:bookmarkEnd w:id="137"/>
      <w:r>
        <w:rPr>
          <w:rFonts w:hint="eastAsia"/>
          <w:b/>
          <w:sz w:val="28"/>
          <w:szCs w:val="28"/>
        </w:rPr>
        <w:t>定标</w:t>
      </w:r>
      <w:bookmarkEnd w:id="138"/>
      <w:bookmarkEnd w:id="139"/>
    </w:p>
    <w:p>
      <w:pPr>
        <w:pStyle w:val="27"/>
        <w:rPr>
          <w:b/>
          <w:sz w:val="28"/>
          <w:szCs w:val="28"/>
        </w:rPr>
      </w:pPr>
      <w:bookmarkStart w:id="140" w:name="_Toc513029238"/>
      <w:bookmarkStart w:id="141" w:name="_Toc20823310"/>
      <w:bookmarkStart w:id="142" w:name="_Toc16938554"/>
      <w:r>
        <w:rPr>
          <w:rFonts w:hint="eastAsia"/>
          <w:b/>
          <w:sz w:val="28"/>
          <w:szCs w:val="28"/>
        </w:rPr>
        <w:t>26、</w:t>
      </w:r>
      <w:bookmarkEnd w:id="140"/>
      <w:r>
        <w:rPr>
          <w:rFonts w:hint="eastAsia"/>
          <w:b/>
          <w:sz w:val="28"/>
          <w:szCs w:val="28"/>
        </w:rPr>
        <w:t>确定</w:t>
      </w:r>
      <w:bookmarkEnd w:id="141"/>
      <w:bookmarkEnd w:id="142"/>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3" w:name="OLE_LINK8"/>
      <w:bookmarkStart w:id="144" w:name="OLE_LINK5"/>
      <w:bookmarkStart w:id="145" w:name="OLE_LINK7"/>
      <w:bookmarkStart w:id="146" w:name="OLE_LINK3"/>
      <w:bookmarkStart w:id="147" w:name="OLE_LINK4"/>
      <w:bookmarkStart w:id="148" w:name="OLE_LINK6"/>
      <w:r>
        <w:rPr>
          <w:rFonts w:hint="eastAsia"/>
          <w:sz w:val="28"/>
          <w:szCs w:val="28"/>
        </w:rPr>
        <w:t>6.3</w:t>
      </w:r>
      <w:bookmarkEnd w:id="143"/>
      <w:bookmarkEnd w:id="144"/>
      <w:bookmarkEnd w:id="145"/>
      <w:bookmarkEnd w:id="146"/>
      <w:bookmarkEnd w:id="147"/>
      <w:bookmarkEnd w:id="148"/>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49"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49"/>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0" w:name="_Toc517190888"/>
      <w:bookmarkStart w:id="151" w:name="_Toc120614220"/>
      <w:bookmarkStart w:id="152" w:name="_Toc20823308"/>
      <w:bookmarkStart w:id="153" w:name="_Toc513029236"/>
      <w:bookmarkStart w:id="154" w:name="_Toc16938552"/>
      <w:r>
        <w:rPr>
          <w:rFonts w:hint="eastAsia"/>
          <w:b/>
          <w:sz w:val="28"/>
          <w:szCs w:val="28"/>
        </w:rPr>
        <w:t>七、授予合同</w:t>
      </w:r>
      <w:bookmarkEnd w:id="150"/>
      <w:bookmarkEnd w:id="151"/>
    </w:p>
    <w:bookmarkEnd w:id="152"/>
    <w:bookmarkEnd w:id="153"/>
    <w:bookmarkEnd w:id="154"/>
    <w:p>
      <w:pPr>
        <w:pStyle w:val="27"/>
        <w:rPr>
          <w:b/>
          <w:sz w:val="28"/>
          <w:szCs w:val="28"/>
        </w:rPr>
      </w:pPr>
      <w:bookmarkStart w:id="155" w:name="_Toc20823309"/>
      <w:bookmarkStart w:id="156" w:name="_Toc16938553"/>
      <w:bookmarkStart w:id="157"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55"/>
    <w:bookmarkEnd w:id="156"/>
    <w:bookmarkEnd w:id="157"/>
    <w:p>
      <w:pPr>
        <w:pStyle w:val="27"/>
        <w:rPr>
          <w:b/>
          <w:sz w:val="28"/>
          <w:szCs w:val="28"/>
        </w:rPr>
      </w:pPr>
      <w:bookmarkStart w:id="158" w:name="_Toc517190889"/>
      <w:r>
        <w:rPr>
          <w:rFonts w:hint="eastAsia"/>
          <w:b/>
          <w:sz w:val="28"/>
          <w:szCs w:val="28"/>
        </w:rPr>
        <w:t>八、其他</w:t>
      </w:r>
      <w:bookmarkEnd w:id="158"/>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rFonts w:asciiTheme="minorEastAsia" w:hAnsiTheme="minorEastAsia" w:eastAsiaTheme="minorEastAsia"/>
          <w:b/>
          <w:sz w:val="44"/>
          <w:szCs w:val="44"/>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59" w:name="_Toc523931347"/>
      <w:r>
        <w:rPr>
          <w:rFonts w:hint="eastAsia" w:asciiTheme="minorEastAsia" w:hAnsiTheme="minorEastAsia" w:eastAsiaTheme="minorEastAsia"/>
          <w:b/>
          <w:sz w:val="44"/>
          <w:szCs w:val="44"/>
        </w:rPr>
        <w:t>第三章   项目需求</w:t>
      </w:r>
      <w:bookmarkEnd w:id="159"/>
    </w:p>
    <w:p>
      <w:pPr>
        <w:pStyle w:val="33"/>
        <w:spacing w:line="360" w:lineRule="auto"/>
        <w:ind w:firstLine="562"/>
        <w:rPr>
          <w:rFonts w:ascii="Arial" w:hAnsi="Arial" w:eastAsia="宋体" w:cs="Times New Roman"/>
          <w:b/>
          <w:sz w:val="28"/>
          <w:szCs w:val="28"/>
        </w:rPr>
      </w:pPr>
    </w:p>
    <w:p>
      <w:pPr>
        <w:rPr>
          <w:rFonts w:ascii="Arial" w:hAnsi="Arial" w:eastAsia="宋体" w:cs="Times New Roman"/>
          <w:b/>
          <w:sz w:val="28"/>
          <w:szCs w:val="28"/>
        </w:rPr>
      </w:pPr>
      <w:r>
        <w:rPr>
          <w:rFonts w:hint="eastAsia" w:ascii="Arial" w:hAnsi="Arial" w:eastAsia="宋体" w:cs="Times New Roman"/>
          <w:b/>
          <w:sz w:val="28"/>
          <w:szCs w:val="28"/>
        </w:rPr>
        <w:t>一、总体服务要求</w:t>
      </w:r>
    </w:p>
    <w:p>
      <w:pPr>
        <w:pStyle w:val="27"/>
        <w:rPr>
          <w:bCs/>
          <w:sz w:val="28"/>
          <w:szCs w:val="28"/>
        </w:rPr>
      </w:pPr>
      <w:r>
        <w:rPr>
          <w:rFonts w:hint="eastAsia"/>
          <w:bCs/>
          <w:sz w:val="28"/>
          <w:szCs w:val="28"/>
        </w:rPr>
        <w:t>1、银行资信良好, 具备并提供银行资信等级证书。</w:t>
      </w:r>
    </w:p>
    <w:p>
      <w:pPr>
        <w:pStyle w:val="27"/>
        <w:rPr>
          <w:bCs/>
          <w:sz w:val="28"/>
          <w:szCs w:val="28"/>
        </w:rPr>
      </w:pPr>
      <w:r>
        <w:rPr>
          <w:rFonts w:hint="eastAsia"/>
          <w:bCs/>
          <w:sz w:val="28"/>
          <w:szCs w:val="28"/>
        </w:rPr>
        <w:t>2、能够提供全套专业化服务，并及时给招标人提供汇率风险的警示和建议等业务培训.</w:t>
      </w:r>
    </w:p>
    <w:p>
      <w:pPr>
        <w:pStyle w:val="27"/>
        <w:rPr>
          <w:bCs/>
          <w:sz w:val="28"/>
          <w:szCs w:val="28"/>
        </w:rPr>
      </w:pPr>
      <w:r>
        <w:rPr>
          <w:rFonts w:hint="eastAsia"/>
          <w:bCs/>
          <w:sz w:val="28"/>
          <w:szCs w:val="28"/>
        </w:rPr>
        <w:t>3、具有不少于5年的货物（主要包含仪器设备、软件、化学试剂等）的外贸代理经验，特别是高校相关的货物免税进口经验。</w:t>
      </w:r>
    </w:p>
    <w:p>
      <w:pPr>
        <w:pStyle w:val="27"/>
        <w:rPr>
          <w:bCs/>
          <w:sz w:val="28"/>
          <w:szCs w:val="28"/>
        </w:rPr>
      </w:pPr>
      <w:r>
        <w:rPr>
          <w:rFonts w:hint="eastAsia"/>
          <w:bCs/>
          <w:sz w:val="28"/>
          <w:szCs w:val="28"/>
        </w:rPr>
        <w:t>4、招标方每年有少部分境外单位赠送的货物需要进口，外贸代理商需要无偿帮助办理免税手续和提供报关委托书。</w:t>
      </w:r>
    </w:p>
    <w:p>
      <w:pPr>
        <w:pStyle w:val="27"/>
        <w:rPr>
          <w:bCs/>
          <w:sz w:val="28"/>
          <w:szCs w:val="28"/>
        </w:rPr>
      </w:pPr>
      <w:r>
        <w:rPr>
          <w:rFonts w:hint="eastAsia"/>
          <w:bCs/>
          <w:sz w:val="28"/>
          <w:szCs w:val="28"/>
        </w:rPr>
        <w:t>5、跟其他高校以往没有经济纠纷及法律诉讼或案件，查实确有将取消其中标资格。</w:t>
      </w:r>
    </w:p>
    <w:p>
      <w:pPr>
        <w:pStyle w:val="27"/>
        <w:rPr>
          <w:bCs/>
          <w:sz w:val="28"/>
          <w:szCs w:val="28"/>
        </w:rPr>
      </w:pPr>
      <w:r>
        <w:rPr>
          <w:rFonts w:hint="eastAsia"/>
          <w:bCs/>
          <w:sz w:val="28"/>
          <w:szCs w:val="28"/>
        </w:rPr>
        <w:t>6、投标人资产管理情况良好，无诈骗、资不抵债等情形，具备为采购人临时垫资向外支付外贸合同货款的能力。</w:t>
      </w:r>
    </w:p>
    <w:p>
      <w:pPr>
        <w:pStyle w:val="27"/>
        <w:rPr>
          <w:bCs/>
          <w:sz w:val="28"/>
          <w:szCs w:val="28"/>
        </w:rPr>
      </w:pPr>
      <w:r>
        <w:rPr>
          <w:rFonts w:hint="eastAsia"/>
          <w:bCs/>
          <w:sz w:val="28"/>
          <w:szCs w:val="28"/>
        </w:rPr>
        <w:t>7、未经许可，不得将委托签订的外贸合同、代理协议、谈判记录、进口货物征免税证明及任何与委托内容相关的材料提供给任何第三方。</w:t>
      </w:r>
    </w:p>
    <w:p>
      <w:pPr>
        <w:pStyle w:val="27"/>
        <w:rPr>
          <w:bCs/>
          <w:sz w:val="28"/>
          <w:szCs w:val="28"/>
        </w:rPr>
      </w:pPr>
      <w:r>
        <w:rPr>
          <w:rFonts w:hint="eastAsia"/>
          <w:bCs/>
          <w:sz w:val="28"/>
          <w:szCs w:val="28"/>
        </w:rPr>
        <w:t>8、以往业务办理过程中，无违反外汇管理规定的行为，没有被外汇管理局通报或处罚的不良记录。</w:t>
      </w:r>
    </w:p>
    <w:p>
      <w:pPr>
        <w:rPr>
          <w:rFonts w:ascii="Arial" w:hAnsi="Arial" w:eastAsia="宋体" w:cs="Times New Roman"/>
          <w:b/>
          <w:sz w:val="28"/>
          <w:szCs w:val="28"/>
        </w:rPr>
      </w:pPr>
      <w:r>
        <w:rPr>
          <w:rFonts w:hint="eastAsia" w:ascii="Arial" w:hAnsi="Arial" w:eastAsia="宋体" w:cs="Times New Roman"/>
          <w:b/>
          <w:sz w:val="28"/>
          <w:szCs w:val="28"/>
        </w:rPr>
        <w:t>二、代理服务商责任和义务</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1、需要有固定的人员（1-2人）专门为招标人提供服务</w:t>
      </w:r>
      <w:r>
        <w:rPr>
          <w:rFonts w:hint="eastAsia" w:ascii="Arial" w:hAnsi="Arial" w:eastAsia="宋体" w:cs="Times New Roman"/>
          <w:b/>
          <w:sz w:val="28"/>
          <w:szCs w:val="28"/>
        </w:rPr>
        <w:t>（在投标文件中须注明负责我校外贸工作的项目经理姓名、从业年限和业绩）</w:t>
      </w:r>
      <w:r>
        <w:rPr>
          <w:rFonts w:hint="eastAsia" w:ascii="Arial" w:hAnsi="Arial" w:eastAsia="宋体" w:cs="Times New Roman"/>
          <w:bCs/>
          <w:sz w:val="28"/>
          <w:szCs w:val="28"/>
        </w:rPr>
        <w:t>。在收到我校通知后的5个工作日内与我校签订进口货物的《进口代理合同》，《进口代理合同》签订后10个工作日内按照我校的要求与供应商（或其委托的代理人）签订《外贸合同》。协议有效期内，如果中标人需要更换业务员，须提前15天告知我校，并确保更换的业务员具有较强的业务处理能力，由于业务员业务不熟练等原因而对我校外贸代理服务造成较大影响的，我校有权终止外贸代理合同。</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2、需在规定的时间内完成代理服务各环节工作，各环节对接过程不接受邮寄、快递等方式传递材料，必须专人当面对接；</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3、与外方签定外贸合同，对外开立信用证、付汇、核销、报关、商检、提货、运输等手续，并协助招标人办理机电产品进口证明，大型特定产品、配额产品的审批及可免税货物的免税手续等，因办理事项不及时导致供货延期由中标人负责；配合协调招标人与海关之间的相关事宜。</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4、保证所提供货物是从中国海关合法渠道进口，严格按合同规定的时间、数量、品种和规格供货。</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5、将进口的货物及时送往直接用户手中，全程负责卸货，需要商检的货物及时通知校方，并将货物送至指定地点存放，能够根据需要到达现场配合商检。</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6、配合协调供应商与直接用户的有关事宜，催促供应商及时供货、直接用户及时验收、结算。</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7、向招标人提供与进口有关的文件复印件一份（包括机电产品进口证明及海关进口报关单，外贸合同等），配合招标人做好海关的检查、并提供相关的材料。</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8、在仪器设备出现质量问题或到货物品与合同不符时，负责与供应商交涉处理退换货、维修和索赔事宜。</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9、从签订委托代理合同开始直至将货物送至用户指定地方为止，在这过程中发生任何问题，一切责任及风险由中标人承担，在用户签收设备以后，责任由中标人转移至招标人。</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10、如因外方违反合同，由中标人按合同规定，在征得学校同意后并获得有关商检证明后（货到目的港三个月内），对外方提起诉讼、索赔。必要时，提请仲裁机关进行仲裁，由此而产生的费用按有关法律规定执行。</w:t>
      </w:r>
    </w:p>
    <w:p>
      <w:pPr>
        <w:ind w:firstLine="560" w:firstLineChars="200"/>
        <w:rPr>
          <w:rFonts w:ascii="Arial" w:hAnsi="Arial" w:eastAsia="宋体" w:cs="Times New Roman"/>
          <w:bCs/>
          <w:sz w:val="28"/>
          <w:szCs w:val="28"/>
        </w:rPr>
      </w:pPr>
      <w:r>
        <w:rPr>
          <w:rFonts w:hint="eastAsia" w:ascii="Arial" w:hAnsi="Arial" w:eastAsia="宋体" w:cs="Times New Roman"/>
          <w:bCs/>
          <w:sz w:val="28"/>
          <w:szCs w:val="28"/>
        </w:rPr>
        <w:t>11、每月末，中标人汇编本月到货情况、合同执行情况，汇总需招标人留存的报关材料交招标人留存，年末将全年的设备统计汇总，交招标人留存，以便海关监管期内核查。</w:t>
      </w:r>
    </w:p>
    <w:p>
      <w:pPr>
        <w:ind w:firstLine="560" w:firstLineChars="200"/>
        <w:rPr>
          <w:rFonts w:ascii="Arial" w:hAnsi="Arial" w:eastAsia="宋体" w:cs="Times New Roman"/>
          <w:b/>
          <w:sz w:val="28"/>
          <w:szCs w:val="28"/>
        </w:rPr>
      </w:pPr>
      <w:r>
        <w:rPr>
          <w:rFonts w:hint="eastAsia" w:ascii="Arial" w:hAnsi="Arial" w:eastAsia="宋体" w:cs="Times New Roman"/>
          <w:bCs/>
          <w:sz w:val="28"/>
          <w:szCs w:val="28"/>
        </w:rPr>
        <w:t>12、到货验收合格后，外贸代理商要在15个工作日内开具外贸代理发票完成结算，并可根据用户要求开出不同数量的代理发票；如因各种理由不及时办理结算手续的，招标方将有权取消其外贸代理资质。</w:t>
      </w:r>
    </w:p>
    <w:p>
      <w:pPr>
        <w:rPr>
          <w:rFonts w:ascii="Arial" w:hAnsi="Arial" w:eastAsia="宋体" w:cs="Times New Roman"/>
          <w:b/>
          <w:sz w:val="28"/>
          <w:szCs w:val="28"/>
        </w:rPr>
      </w:pPr>
      <w:r>
        <w:rPr>
          <w:rFonts w:hint="eastAsia" w:ascii="Arial" w:hAnsi="Arial" w:eastAsia="宋体" w:cs="Times New Roman"/>
          <w:b/>
          <w:sz w:val="28"/>
          <w:szCs w:val="28"/>
        </w:rPr>
        <w:t>三、付款方式及服务收费</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1、付款方式：</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1.1目前学校付款方式为货到</w:t>
      </w:r>
      <w:r>
        <w:rPr>
          <w:rFonts w:hint="eastAsia" w:ascii="Arial" w:hAnsi="Arial" w:eastAsia="宋体" w:cs="Times New Roman"/>
          <w:bCs/>
          <w:color w:val="auto"/>
          <w:sz w:val="28"/>
          <w:szCs w:val="28"/>
        </w:rPr>
        <w:t>安装，可正常运行</w:t>
      </w:r>
      <w:r>
        <w:rPr>
          <w:rFonts w:hint="eastAsia" w:ascii="Arial" w:hAnsi="Arial" w:eastAsia="宋体" w:cs="Times New Roman"/>
          <w:bCs/>
          <w:sz w:val="28"/>
          <w:szCs w:val="28"/>
        </w:rPr>
        <w:t>后以15天为验收期限，中标价小于等于20万元的设备，验收合格后付全款；中标价大于20万元的设备，验收合格后支付到合同金额的90%，余10%尾款于正常使用一年后无息支付，特殊或复杂项目需要调整支付方式的，须经双方协商一致。校方验收合格后通知外贸代理方开具合法发票进行后续付款事宜。即外贸代理服务商在未收到校方的验收合格报告和对应货款前，不承担对外付款事宜。</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1.2若特殊情况下，需要外贸代理方垫资的，代理服务商须具为学校代垫购货款的能力，开具90%信用证，代理方在免税办妥后 5 个工作日内开出信用证（严禁外贸代理商借用其他公司代开信用证，信用证开出后 3 个工作日内，须提供一份信用证副本至我校资产和产业管理处设备科存档），余10%尾款于验收合格一年后无息支付。</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1.3具体以每项业务“进口货物委托代理合同”的约定为准。</w:t>
      </w:r>
    </w:p>
    <w:p>
      <w:pPr>
        <w:ind w:firstLine="576"/>
        <w:rPr>
          <w:rFonts w:ascii="Arial" w:hAnsi="Arial" w:eastAsia="宋体" w:cs="Times New Roman"/>
          <w:bCs/>
          <w:kern w:val="2"/>
          <w:sz w:val="28"/>
          <w:szCs w:val="28"/>
        </w:rPr>
      </w:pPr>
      <w:r>
        <w:rPr>
          <w:rFonts w:hint="eastAsia" w:ascii="Arial" w:hAnsi="Arial" w:eastAsia="宋体" w:cs="Times New Roman"/>
          <w:bCs/>
          <w:kern w:val="2"/>
          <w:sz w:val="28"/>
          <w:szCs w:val="28"/>
        </w:rPr>
        <w:t>2、服务收费：学校每笔业务根据签订的委托进口协议支付给外贸代理商的人民币总金额（包括货款、各种手续费、代理费等）采用总体包干方式。</w:t>
      </w:r>
    </w:p>
    <w:p>
      <w:pPr>
        <w:autoSpaceDE w:val="0"/>
        <w:autoSpaceDN w:val="0"/>
        <w:ind w:firstLine="560" w:firstLineChars="200"/>
        <w:rPr>
          <w:rFonts w:ascii="Arial" w:hAnsi="Arial" w:eastAsia="宋体" w:cs="Times New Roman"/>
          <w:bCs/>
          <w:kern w:val="2"/>
          <w:sz w:val="28"/>
          <w:szCs w:val="28"/>
        </w:rPr>
      </w:pPr>
      <w:r>
        <w:rPr>
          <w:rFonts w:hint="eastAsia" w:ascii="Arial" w:hAnsi="Arial" w:eastAsia="宋体" w:cs="Times New Roman"/>
          <w:bCs/>
          <w:kern w:val="2"/>
          <w:sz w:val="28"/>
          <w:szCs w:val="28"/>
        </w:rPr>
        <w:t>代理费率表：</w:t>
      </w:r>
    </w:p>
    <w:tbl>
      <w:tblPr>
        <w:tblStyle w:val="17"/>
        <w:tblW w:w="7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3020"/>
        <w:gridCol w:w="219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656" w:type="dxa"/>
            <w:shd w:val="clear" w:color="auto" w:fill="auto"/>
            <w:vAlign w:val="center"/>
          </w:tcPr>
          <w:p>
            <w:pPr>
              <w:spacing w:line="400" w:lineRule="exact"/>
              <w:jc w:val="center"/>
              <w:rPr>
                <w:rFonts w:ascii="宋体" w:hAnsi="宋体"/>
                <w:b/>
                <w:bCs/>
                <w:color w:val="000000"/>
                <w:szCs w:val="21"/>
              </w:rPr>
            </w:pPr>
            <w:r>
              <w:rPr>
                <w:rFonts w:hint="eastAsia" w:ascii="宋体" w:hAnsi="宋体"/>
                <w:b/>
                <w:bCs/>
                <w:color w:val="000000"/>
                <w:szCs w:val="21"/>
              </w:rPr>
              <w:t>档列</w:t>
            </w:r>
          </w:p>
        </w:tc>
        <w:tc>
          <w:tcPr>
            <w:tcW w:w="3020" w:type="dxa"/>
            <w:shd w:val="clear" w:color="auto" w:fill="auto"/>
            <w:vAlign w:val="center"/>
          </w:tcPr>
          <w:p>
            <w:pPr>
              <w:spacing w:line="400" w:lineRule="exact"/>
              <w:jc w:val="center"/>
              <w:rPr>
                <w:rFonts w:ascii="宋体" w:hAnsi="宋体"/>
                <w:b/>
                <w:bCs/>
                <w:color w:val="000000"/>
                <w:szCs w:val="21"/>
              </w:rPr>
            </w:pPr>
            <w:r>
              <w:rPr>
                <w:rFonts w:hint="eastAsia" w:ascii="宋体" w:hAnsi="宋体"/>
                <w:b/>
                <w:bCs/>
                <w:color w:val="000000"/>
                <w:szCs w:val="21"/>
              </w:rPr>
              <w:t>合同价（单位：美元）</w:t>
            </w:r>
          </w:p>
        </w:tc>
        <w:tc>
          <w:tcPr>
            <w:tcW w:w="2196" w:type="dxa"/>
            <w:shd w:val="clear" w:color="auto" w:fill="auto"/>
            <w:vAlign w:val="center"/>
          </w:tcPr>
          <w:p>
            <w:pPr>
              <w:spacing w:line="400" w:lineRule="exact"/>
              <w:jc w:val="center"/>
              <w:rPr>
                <w:rFonts w:ascii="宋体" w:hAnsi="宋体"/>
                <w:b/>
                <w:bCs/>
                <w:color w:val="000000"/>
                <w:szCs w:val="21"/>
              </w:rPr>
            </w:pPr>
            <w:r>
              <w:rPr>
                <w:rFonts w:hint="eastAsia" w:ascii="宋体" w:hAnsi="宋体"/>
                <w:b/>
                <w:bCs/>
                <w:color w:val="000000"/>
                <w:szCs w:val="21"/>
              </w:rPr>
              <w:t>权重（以往年统计）</w:t>
            </w:r>
          </w:p>
        </w:tc>
        <w:tc>
          <w:tcPr>
            <w:tcW w:w="1536" w:type="dxa"/>
            <w:shd w:val="clear" w:color="auto" w:fill="auto"/>
            <w:vAlign w:val="center"/>
          </w:tcPr>
          <w:p>
            <w:pPr>
              <w:spacing w:line="400" w:lineRule="exact"/>
              <w:jc w:val="center"/>
              <w:rPr>
                <w:rFonts w:ascii="宋体" w:hAnsi="宋体"/>
                <w:b/>
                <w:bCs/>
                <w:color w:val="000000"/>
                <w:szCs w:val="21"/>
              </w:rPr>
            </w:pPr>
            <w:r>
              <w:rPr>
                <w:rFonts w:hint="eastAsia" w:ascii="宋体" w:hAnsi="宋体"/>
                <w:b/>
                <w:bCs/>
                <w:color w:val="000000"/>
                <w:szCs w:val="21"/>
              </w:rPr>
              <w:t>每段代理费率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656" w:type="dxa"/>
            <w:shd w:val="clear" w:color="auto" w:fill="auto"/>
            <w:vAlign w:val="center"/>
          </w:tcPr>
          <w:p>
            <w:pPr>
              <w:spacing w:line="240" w:lineRule="exact"/>
              <w:jc w:val="center"/>
              <w:rPr>
                <w:color w:val="000000"/>
                <w:szCs w:val="20"/>
              </w:rPr>
            </w:pPr>
            <w:r>
              <w:rPr>
                <w:rFonts w:hint="eastAsia"/>
                <w:color w:val="000000"/>
                <w:szCs w:val="20"/>
              </w:rPr>
              <w:t>1</w:t>
            </w:r>
          </w:p>
        </w:tc>
        <w:tc>
          <w:tcPr>
            <w:tcW w:w="3020" w:type="dxa"/>
            <w:shd w:val="clear" w:color="auto" w:fill="auto"/>
            <w:vAlign w:val="center"/>
          </w:tcPr>
          <w:p>
            <w:pPr>
              <w:spacing w:line="400" w:lineRule="exact"/>
              <w:jc w:val="center"/>
              <w:rPr>
                <w:color w:val="000000"/>
                <w:szCs w:val="20"/>
              </w:rPr>
            </w:pPr>
            <w:r>
              <w:rPr>
                <w:rFonts w:hint="eastAsia" w:ascii="宋体" w:hAnsi="宋体"/>
                <w:color w:val="000000"/>
                <w:szCs w:val="21"/>
              </w:rPr>
              <w:t>合同价＜10000</w:t>
            </w:r>
          </w:p>
        </w:tc>
        <w:tc>
          <w:tcPr>
            <w:tcW w:w="2196" w:type="dxa"/>
            <w:shd w:val="clear" w:color="auto" w:fill="auto"/>
            <w:vAlign w:val="center"/>
          </w:tcPr>
          <w:p>
            <w:pPr>
              <w:spacing w:line="240" w:lineRule="exact"/>
              <w:jc w:val="center"/>
              <w:rPr>
                <w:color w:val="000000"/>
                <w:szCs w:val="20"/>
              </w:rPr>
            </w:pPr>
            <w:r>
              <w:rPr>
                <w:rFonts w:hint="eastAsia"/>
                <w:color w:val="000000"/>
                <w:szCs w:val="20"/>
              </w:rPr>
              <w:t>1/10</w:t>
            </w:r>
          </w:p>
        </w:tc>
        <w:tc>
          <w:tcPr>
            <w:tcW w:w="1536" w:type="dxa"/>
            <w:shd w:val="clear" w:color="auto" w:fill="auto"/>
            <w:vAlign w:val="center"/>
          </w:tcPr>
          <w:p>
            <w:pPr>
              <w:spacing w:line="240" w:lineRule="exact"/>
              <w:jc w:val="center"/>
              <w:rPr>
                <w:color w:val="00000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656" w:type="dxa"/>
            <w:shd w:val="clear" w:color="auto" w:fill="auto"/>
            <w:vAlign w:val="center"/>
          </w:tcPr>
          <w:p>
            <w:pPr>
              <w:spacing w:line="240" w:lineRule="exact"/>
              <w:jc w:val="center"/>
              <w:rPr>
                <w:color w:val="000000"/>
                <w:szCs w:val="20"/>
              </w:rPr>
            </w:pPr>
            <w:r>
              <w:rPr>
                <w:rFonts w:hint="eastAsia"/>
                <w:color w:val="000000"/>
                <w:szCs w:val="20"/>
              </w:rPr>
              <w:t>2</w:t>
            </w:r>
          </w:p>
        </w:tc>
        <w:tc>
          <w:tcPr>
            <w:tcW w:w="3020" w:type="dxa"/>
            <w:shd w:val="clear" w:color="auto" w:fill="auto"/>
            <w:vAlign w:val="center"/>
          </w:tcPr>
          <w:p>
            <w:pPr>
              <w:spacing w:line="400" w:lineRule="exact"/>
              <w:jc w:val="center"/>
              <w:rPr>
                <w:color w:val="000000"/>
                <w:szCs w:val="20"/>
              </w:rPr>
            </w:pPr>
            <w:r>
              <w:rPr>
                <w:rFonts w:hint="eastAsia" w:ascii="宋体" w:hAnsi="宋体"/>
                <w:color w:val="000000"/>
                <w:szCs w:val="21"/>
              </w:rPr>
              <w:t>10，000≤合同价＜30，000</w:t>
            </w:r>
          </w:p>
        </w:tc>
        <w:tc>
          <w:tcPr>
            <w:tcW w:w="2196" w:type="dxa"/>
            <w:shd w:val="clear" w:color="auto" w:fill="auto"/>
            <w:vAlign w:val="center"/>
          </w:tcPr>
          <w:p>
            <w:pPr>
              <w:spacing w:line="240" w:lineRule="exact"/>
              <w:jc w:val="center"/>
              <w:rPr>
                <w:color w:val="000000"/>
                <w:szCs w:val="20"/>
              </w:rPr>
            </w:pPr>
            <w:r>
              <w:rPr>
                <w:rFonts w:hint="eastAsia"/>
                <w:color w:val="000000"/>
                <w:szCs w:val="20"/>
              </w:rPr>
              <w:t>2/10</w:t>
            </w:r>
          </w:p>
        </w:tc>
        <w:tc>
          <w:tcPr>
            <w:tcW w:w="1536" w:type="dxa"/>
            <w:shd w:val="clear" w:color="auto" w:fill="auto"/>
            <w:vAlign w:val="center"/>
          </w:tcPr>
          <w:p>
            <w:pPr>
              <w:spacing w:line="240" w:lineRule="exact"/>
              <w:jc w:val="center"/>
              <w:rPr>
                <w:color w:val="00000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56" w:type="dxa"/>
            <w:shd w:val="clear" w:color="auto" w:fill="auto"/>
            <w:vAlign w:val="center"/>
          </w:tcPr>
          <w:p>
            <w:pPr>
              <w:spacing w:line="240" w:lineRule="exact"/>
              <w:jc w:val="center"/>
              <w:rPr>
                <w:color w:val="000000"/>
                <w:szCs w:val="20"/>
              </w:rPr>
            </w:pPr>
            <w:r>
              <w:rPr>
                <w:rFonts w:hint="eastAsia"/>
                <w:color w:val="000000"/>
                <w:szCs w:val="20"/>
              </w:rPr>
              <w:t>3</w:t>
            </w:r>
          </w:p>
        </w:tc>
        <w:tc>
          <w:tcPr>
            <w:tcW w:w="3020" w:type="dxa"/>
            <w:shd w:val="clear" w:color="auto" w:fill="auto"/>
            <w:vAlign w:val="center"/>
          </w:tcPr>
          <w:p>
            <w:pPr>
              <w:spacing w:line="400" w:lineRule="exact"/>
              <w:jc w:val="center"/>
              <w:rPr>
                <w:color w:val="000000"/>
                <w:szCs w:val="20"/>
              </w:rPr>
            </w:pPr>
            <w:r>
              <w:rPr>
                <w:rFonts w:hint="eastAsia" w:ascii="宋体" w:hAnsi="宋体"/>
                <w:color w:val="000000"/>
                <w:szCs w:val="21"/>
              </w:rPr>
              <w:t>30，000≤合同价＜50，000</w:t>
            </w:r>
          </w:p>
        </w:tc>
        <w:tc>
          <w:tcPr>
            <w:tcW w:w="2196" w:type="dxa"/>
            <w:shd w:val="clear" w:color="auto" w:fill="auto"/>
            <w:vAlign w:val="center"/>
          </w:tcPr>
          <w:p>
            <w:pPr>
              <w:spacing w:line="240" w:lineRule="exact"/>
              <w:jc w:val="center"/>
              <w:rPr>
                <w:color w:val="000000"/>
                <w:szCs w:val="20"/>
              </w:rPr>
            </w:pPr>
            <w:r>
              <w:rPr>
                <w:rFonts w:hint="eastAsia"/>
                <w:color w:val="000000"/>
                <w:szCs w:val="20"/>
              </w:rPr>
              <w:t>2/10</w:t>
            </w:r>
          </w:p>
        </w:tc>
        <w:tc>
          <w:tcPr>
            <w:tcW w:w="1536" w:type="dxa"/>
            <w:shd w:val="clear" w:color="auto" w:fill="auto"/>
            <w:vAlign w:val="center"/>
          </w:tcPr>
          <w:p>
            <w:pPr>
              <w:spacing w:line="240" w:lineRule="exact"/>
              <w:jc w:val="center"/>
              <w:rPr>
                <w:color w:val="00000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656" w:type="dxa"/>
            <w:shd w:val="clear" w:color="auto" w:fill="auto"/>
            <w:vAlign w:val="center"/>
          </w:tcPr>
          <w:p>
            <w:pPr>
              <w:spacing w:line="240" w:lineRule="exact"/>
              <w:jc w:val="center"/>
              <w:rPr>
                <w:color w:val="000000"/>
                <w:szCs w:val="20"/>
              </w:rPr>
            </w:pPr>
            <w:r>
              <w:rPr>
                <w:rFonts w:hint="eastAsia"/>
                <w:color w:val="000000"/>
                <w:szCs w:val="20"/>
              </w:rPr>
              <w:t>4</w:t>
            </w:r>
          </w:p>
        </w:tc>
        <w:tc>
          <w:tcPr>
            <w:tcW w:w="3020" w:type="dxa"/>
            <w:shd w:val="clear" w:color="auto" w:fill="auto"/>
            <w:vAlign w:val="center"/>
          </w:tcPr>
          <w:p>
            <w:pPr>
              <w:spacing w:line="400" w:lineRule="exact"/>
              <w:jc w:val="center"/>
              <w:rPr>
                <w:color w:val="000000"/>
                <w:szCs w:val="20"/>
              </w:rPr>
            </w:pPr>
            <w:r>
              <w:rPr>
                <w:rFonts w:hint="eastAsia" w:ascii="宋体" w:hAnsi="宋体"/>
                <w:color w:val="000000"/>
                <w:szCs w:val="21"/>
              </w:rPr>
              <w:t>50，000≤合同价＜100，000</w:t>
            </w:r>
          </w:p>
        </w:tc>
        <w:tc>
          <w:tcPr>
            <w:tcW w:w="2196" w:type="dxa"/>
            <w:shd w:val="clear" w:color="auto" w:fill="auto"/>
            <w:vAlign w:val="center"/>
          </w:tcPr>
          <w:p>
            <w:pPr>
              <w:spacing w:line="240" w:lineRule="exact"/>
              <w:jc w:val="center"/>
              <w:rPr>
                <w:color w:val="000000"/>
                <w:szCs w:val="20"/>
              </w:rPr>
            </w:pPr>
            <w:r>
              <w:rPr>
                <w:rFonts w:hint="eastAsia"/>
                <w:color w:val="000000"/>
                <w:szCs w:val="20"/>
              </w:rPr>
              <w:t>3/10</w:t>
            </w:r>
          </w:p>
        </w:tc>
        <w:tc>
          <w:tcPr>
            <w:tcW w:w="1536" w:type="dxa"/>
            <w:shd w:val="clear" w:color="auto" w:fill="auto"/>
            <w:vAlign w:val="center"/>
          </w:tcPr>
          <w:p>
            <w:pPr>
              <w:spacing w:line="240" w:lineRule="exact"/>
              <w:jc w:val="center"/>
              <w:rPr>
                <w:color w:val="00000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656" w:type="dxa"/>
            <w:shd w:val="clear" w:color="auto" w:fill="auto"/>
            <w:vAlign w:val="center"/>
          </w:tcPr>
          <w:p>
            <w:pPr>
              <w:spacing w:line="240" w:lineRule="exact"/>
              <w:jc w:val="center"/>
              <w:rPr>
                <w:color w:val="000000"/>
                <w:szCs w:val="20"/>
              </w:rPr>
            </w:pPr>
            <w:r>
              <w:rPr>
                <w:rFonts w:hint="eastAsia"/>
                <w:color w:val="000000"/>
                <w:szCs w:val="20"/>
              </w:rPr>
              <w:t>5</w:t>
            </w:r>
          </w:p>
        </w:tc>
        <w:tc>
          <w:tcPr>
            <w:tcW w:w="3020" w:type="dxa"/>
            <w:shd w:val="clear" w:color="auto" w:fill="auto"/>
            <w:vAlign w:val="center"/>
          </w:tcPr>
          <w:p>
            <w:pPr>
              <w:spacing w:line="400" w:lineRule="exact"/>
              <w:jc w:val="center"/>
              <w:rPr>
                <w:color w:val="000000"/>
                <w:szCs w:val="20"/>
              </w:rPr>
            </w:pPr>
            <w:r>
              <w:rPr>
                <w:rFonts w:hint="eastAsia" w:ascii="宋体" w:hAnsi="宋体"/>
                <w:color w:val="000000"/>
                <w:szCs w:val="21"/>
              </w:rPr>
              <w:t>100，000≤合同价＜200，000</w:t>
            </w:r>
          </w:p>
        </w:tc>
        <w:tc>
          <w:tcPr>
            <w:tcW w:w="2196" w:type="dxa"/>
            <w:shd w:val="clear" w:color="auto" w:fill="auto"/>
            <w:vAlign w:val="center"/>
          </w:tcPr>
          <w:p>
            <w:pPr>
              <w:spacing w:line="240" w:lineRule="exact"/>
              <w:jc w:val="center"/>
              <w:rPr>
                <w:color w:val="000000"/>
                <w:szCs w:val="20"/>
              </w:rPr>
            </w:pPr>
            <w:r>
              <w:rPr>
                <w:rFonts w:hint="eastAsia"/>
                <w:color w:val="000000"/>
                <w:szCs w:val="20"/>
              </w:rPr>
              <w:t>2/10</w:t>
            </w:r>
          </w:p>
        </w:tc>
        <w:tc>
          <w:tcPr>
            <w:tcW w:w="1536" w:type="dxa"/>
            <w:shd w:val="clear" w:color="auto" w:fill="auto"/>
            <w:vAlign w:val="center"/>
          </w:tcPr>
          <w:p>
            <w:pPr>
              <w:spacing w:line="240" w:lineRule="exact"/>
              <w:jc w:val="center"/>
              <w:rPr>
                <w:color w:val="00000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jc w:val="center"/>
        </w:trPr>
        <w:tc>
          <w:tcPr>
            <w:tcW w:w="656" w:type="dxa"/>
            <w:shd w:val="clear" w:color="auto" w:fill="auto"/>
            <w:vAlign w:val="center"/>
          </w:tcPr>
          <w:p>
            <w:pPr>
              <w:spacing w:line="240" w:lineRule="exact"/>
              <w:jc w:val="center"/>
              <w:rPr>
                <w:color w:val="000000"/>
                <w:szCs w:val="20"/>
              </w:rPr>
            </w:pPr>
          </w:p>
        </w:tc>
        <w:tc>
          <w:tcPr>
            <w:tcW w:w="3020" w:type="dxa"/>
            <w:shd w:val="clear" w:color="auto" w:fill="auto"/>
            <w:vAlign w:val="center"/>
          </w:tcPr>
          <w:p>
            <w:pPr>
              <w:spacing w:line="240" w:lineRule="exact"/>
              <w:jc w:val="center"/>
              <w:rPr>
                <w:szCs w:val="20"/>
              </w:rPr>
            </w:pPr>
            <w:r>
              <w:rPr>
                <w:rFonts w:hint="eastAsia" w:ascii="宋体" w:hAnsi="宋体"/>
              </w:rPr>
              <w:t>平均代理费率</w:t>
            </w:r>
          </w:p>
        </w:tc>
        <w:tc>
          <w:tcPr>
            <w:tcW w:w="3732" w:type="dxa"/>
            <w:gridSpan w:val="2"/>
            <w:shd w:val="clear" w:color="auto" w:fill="auto"/>
          </w:tcPr>
          <w:p>
            <w:pPr>
              <w:spacing w:line="240" w:lineRule="exact"/>
              <w:jc w:val="center"/>
              <w:rPr>
                <w:color w:val="000000"/>
                <w:szCs w:val="20"/>
              </w:rPr>
            </w:pPr>
          </w:p>
        </w:tc>
      </w:tr>
    </w:tbl>
    <w:p>
      <w:pPr>
        <w:rPr>
          <w:rFonts w:ascii="Arial" w:hAnsi="Arial" w:eastAsia="宋体" w:cs="Times New Roman"/>
          <w:bCs/>
          <w:kern w:val="2"/>
          <w:sz w:val="28"/>
          <w:szCs w:val="28"/>
        </w:rPr>
      </w:pPr>
      <w:r>
        <w:rPr>
          <w:rFonts w:hint="eastAsia" w:ascii="Arial" w:hAnsi="Arial" w:eastAsia="宋体" w:cs="Times New Roman"/>
          <w:bCs/>
          <w:kern w:val="2"/>
          <w:sz w:val="28"/>
          <w:szCs w:val="28"/>
        </w:rPr>
        <w:t>备注:</w:t>
      </w:r>
    </w:p>
    <w:p>
      <w:pPr>
        <w:numPr>
          <w:ilvl w:val="0"/>
          <w:numId w:val="6"/>
        </w:numPr>
        <w:rPr>
          <w:rFonts w:ascii="Arial" w:hAnsi="Arial" w:eastAsia="宋体" w:cs="Times New Roman"/>
          <w:bCs/>
          <w:kern w:val="2"/>
          <w:sz w:val="28"/>
          <w:szCs w:val="28"/>
        </w:rPr>
      </w:pPr>
      <w:r>
        <w:rPr>
          <w:rFonts w:hint="eastAsia" w:ascii="Arial" w:hAnsi="Arial" w:eastAsia="宋体" w:cs="Times New Roman"/>
          <w:bCs/>
          <w:kern w:val="2"/>
          <w:sz w:val="28"/>
          <w:szCs w:val="28"/>
        </w:rPr>
        <w:t>代理费率=进口代理合同汇率—银行外汇牌价的卖出价汇率。</w:t>
      </w:r>
    </w:p>
    <w:p>
      <w:pPr>
        <w:ind w:firstLine="840" w:firstLineChars="300"/>
        <w:rPr>
          <w:rFonts w:ascii="Arial" w:hAnsi="Arial" w:eastAsia="宋体" w:cs="Times New Roman"/>
          <w:bCs/>
          <w:kern w:val="2"/>
          <w:sz w:val="28"/>
          <w:szCs w:val="28"/>
        </w:rPr>
      </w:pPr>
      <w:r>
        <w:rPr>
          <w:rFonts w:hint="eastAsia" w:ascii="Arial" w:hAnsi="Arial" w:eastAsia="宋体" w:cs="Times New Roman"/>
          <w:bCs/>
          <w:kern w:val="2"/>
          <w:sz w:val="28"/>
          <w:szCs w:val="28"/>
        </w:rPr>
        <w:t>平均代理费率=∑每段代理费率*每段权重</w:t>
      </w:r>
    </w:p>
    <w:p>
      <w:pPr>
        <w:rPr>
          <w:rFonts w:ascii="Arial" w:hAnsi="Arial" w:eastAsia="宋体" w:cs="Times New Roman"/>
          <w:bCs/>
          <w:kern w:val="2"/>
          <w:sz w:val="28"/>
          <w:szCs w:val="28"/>
        </w:rPr>
      </w:pPr>
      <w:r>
        <w:rPr>
          <w:rFonts w:hint="eastAsia" w:ascii="Arial" w:hAnsi="Arial" w:eastAsia="宋体" w:cs="Times New Roman"/>
          <w:bCs/>
          <w:kern w:val="2"/>
          <w:sz w:val="28"/>
          <w:szCs w:val="28"/>
        </w:rPr>
        <w:t>（2）如合同价为美元以外（欧元等）成交的，则代理费按付汇当日的银行牌价折算成美元计算。</w:t>
      </w:r>
    </w:p>
    <w:p>
      <w:pPr>
        <w:rPr>
          <w:rFonts w:ascii="Arial" w:hAnsi="Arial" w:eastAsia="宋体" w:cs="Times New Roman"/>
          <w:bCs/>
          <w:kern w:val="2"/>
          <w:sz w:val="28"/>
          <w:szCs w:val="28"/>
        </w:rPr>
      </w:pPr>
      <w:r>
        <w:rPr>
          <w:rFonts w:hint="eastAsia" w:ascii="Arial" w:hAnsi="Arial" w:eastAsia="宋体" w:cs="Times New Roman"/>
          <w:bCs/>
          <w:kern w:val="2"/>
          <w:sz w:val="28"/>
          <w:szCs w:val="28"/>
        </w:rPr>
        <w:t>（3）合同价为20万美元及以上的，由中标的外贸代理商与招标人洽谈确定，但不高于上述代理费中最低一档。</w:t>
      </w:r>
    </w:p>
    <w:p>
      <w:pPr>
        <w:rPr>
          <w:rFonts w:ascii="Arial" w:hAnsi="Arial" w:eastAsia="宋体" w:cs="Times New Roman"/>
          <w:bCs/>
          <w:kern w:val="2"/>
          <w:sz w:val="28"/>
          <w:szCs w:val="28"/>
        </w:rPr>
      </w:pPr>
      <w:r>
        <w:rPr>
          <w:rFonts w:hint="eastAsia" w:ascii="Arial" w:hAnsi="Arial" w:eastAsia="宋体" w:cs="Times New Roman"/>
          <w:bCs/>
          <w:kern w:val="2"/>
          <w:sz w:val="28"/>
          <w:szCs w:val="28"/>
        </w:rPr>
        <w:t>（4）每单合同总金额（单位：人民币）=外贸合同总价（单位：美元）Χ（签约当日银行外汇牌价的卖出价汇率+该段代理费率）</w:t>
      </w:r>
    </w:p>
    <w:p>
      <w:pPr>
        <w:ind w:firstLine="576"/>
        <w:rPr>
          <w:rFonts w:ascii="Arial" w:hAnsi="Arial" w:eastAsia="宋体" w:cs="Times New Roman"/>
          <w:bCs/>
          <w:kern w:val="2"/>
          <w:sz w:val="28"/>
          <w:szCs w:val="28"/>
        </w:rPr>
      </w:pPr>
      <w:r>
        <w:rPr>
          <w:rFonts w:hint="eastAsia" w:ascii="Arial" w:hAnsi="Arial" w:eastAsia="宋体" w:cs="Times New Roman"/>
          <w:bCs/>
          <w:kern w:val="2"/>
          <w:sz w:val="28"/>
          <w:szCs w:val="28"/>
        </w:rPr>
        <w:t>本项目投标人的报价应为包干总价，包括银行开证与付汇手续费、办理免表相关费用、国内运杂费（港口至采购人目的现场运保费用）、报关费、港杂费用、海关 监管费、办理商检相关费用（商检费除外）、动植检、卫检、办理各项证书等一切费用以及外贸代理业务服务费等费用。</w:t>
      </w:r>
    </w:p>
    <w:p>
      <w:pPr>
        <w:ind w:firstLine="576"/>
        <w:rPr>
          <w:rFonts w:ascii="Arial" w:hAnsi="Arial" w:eastAsia="宋体" w:cs="Times New Roman"/>
          <w:bCs/>
          <w:kern w:val="2"/>
          <w:sz w:val="28"/>
          <w:szCs w:val="28"/>
        </w:rPr>
      </w:pPr>
      <w:r>
        <w:rPr>
          <w:rFonts w:hint="eastAsia" w:ascii="Arial" w:hAnsi="Arial" w:eastAsia="宋体" w:cs="Times New Roman"/>
          <w:bCs/>
          <w:kern w:val="2"/>
          <w:sz w:val="28"/>
          <w:szCs w:val="28"/>
        </w:rPr>
        <w:t>额外发生费用说明：</w:t>
      </w:r>
    </w:p>
    <w:p>
      <w:pPr>
        <w:ind w:firstLine="576"/>
        <w:rPr>
          <w:rFonts w:ascii="Arial" w:hAnsi="Arial" w:eastAsia="宋体" w:cs="Times New Roman"/>
          <w:bCs/>
          <w:kern w:val="2"/>
          <w:sz w:val="28"/>
          <w:szCs w:val="28"/>
        </w:rPr>
      </w:pPr>
      <w:r>
        <w:rPr>
          <w:rFonts w:hint="eastAsia" w:ascii="Arial" w:hAnsi="Arial" w:eastAsia="宋体" w:cs="Times New Roman"/>
          <w:bCs/>
          <w:kern w:val="2"/>
          <w:sz w:val="28"/>
          <w:szCs w:val="28"/>
        </w:rPr>
        <w:t>1、税费：如因国家政策等原因不能免税的，代理服务商应书面通知采购人，在采购人同意的情况下，税费由采购人承担，代理服务商代为垫付，结算时按垫付的税费单据与采购人一并结算。</w:t>
      </w:r>
    </w:p>
    <w:p>
      <w:pPr>
        <w:ind w:firstLine="576"/>
        <w:rPr>
          <w:rFonts w:ascii="Arial" w:hAnsi="Arial" w:eastAsia="宋体" w:cs="Times New Roman"/>
          <w:bCs/>
          <w:kern w:val="2"/>
          <w:sz w:val="28"/>
          <w:szCs w:val="28"/>
        </w:rPr>
      </w:pPr>
      <w:r>
        <w:rPr>
          <w:rFonts w:hint="eastAsia" w:ascii="Arial" w:hAnsi="Arial" w:eastAsia="宋体" w:cs="Times New Roman"/>
          <w:bCs/>
          <w:kern w:val="2"/>
          <w:sz w:val="28"/>
          <w:szCs w:val="28"/>
        </w:rPr>
        <w:t>2、货物滞纳金：如因代理服务商的责任引起的滞纳金由代理服务商承担；如因采购人的责任引起的滞纳金由采购人承担。</w:t>
      </w:r>
    </w:p>
    <w:p>
      <w:pPr>
        <w:ind w:firstLine="576"/>
      </w:pPr>
      <w:r>
        <w:rPr>
          <w:rFonts w:hint="eastAsia" w:ascii="Arial" w:hAnsi="Arial" w:eastAsia="宋体" w:cs="Times New Roman"/>
          <w:bCs/>
          <w:kern w:val="2"/>
          <w:sz w:val="28"/>
          <w:szCs w:val="28"/>
        </w:rPr>
        <w:br w:type="page"/>
      </w:r>
      <w:bookmarkStart w:id="160" w:name="_Toc523931348"/>
      <w:bookmarkStart w:id="161" w:name="_Toc401414769"/>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0"/>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hint="eastAsia" w:cs="Arial" w:asciiTheme="minorEastAsia" w:hAnsiTheme="minorEastAsia" w:eastAsiaTheme="minorEastAsia"/>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pStyle w:val="27"/>
        <w:ind w:firstLine="560" w:firstLineChars="200"/>
        <w:rPr>
          <w:rFonts w:asciiTheme="minorEastAsia" w:hAnsiTheme="minorEastAsia" w:eastAsiaTheme="minorEastAsia"/>
          <w:b/>
          <w:sz w:val="28"/>
          <w:szCs w:val="28"/>
        </w:rPr>
      </w:pPr>
      <w:r>
        <w:rPr>
          <w:rFonts w:asciiTheme="minorEastAsia" w:hAnsiTheme="minorEastAsia" w:eastAsiaTheme="minorEastAsia"/>
          <w:bCs/>
          <w:sz w:val="28"/>
          <w:szCs w:val="28"/>
        </w:rPr>
        <w:t>本项目采用综合评分法确定中标候选人</w:t>
      </w:r>
      <w:r>
        <w:rPr>
          <w:rFonts w:hint="eastAsia" w:asciiTheme="minorEastAsia" w:hAnsiTheme="minorEastAsia" w:eastAsiaTheme="minorEastAsia"/>
          <w:bCs/>
          <w:sz w:val="28"/>
          <w:szCs w:val="28"/>
          <w:highlight w:val="none"/>
        </w:rPr>
        <w:t>，</w:t>
      </w:r>
      <w:r>
        <w:rPr>
          <w:rFonts w:hint="eastAsia" w:cs="Arial" w:asciiTheme="minorEastAsia" w:hAnsiTheme="minorEastAsia" w:eastAsiaTheme="minorEastAsia"/>
          <w:sz w:val="28"/>
          <w:szCs w:val="28"/>
          <w:highlight w:val="none"/>
        </w:rPr>
        <w:t>评审入围的四家代理商按照最终排名顺序确定。</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评标委员会将按下列评分办法和标准进行评分，总分值为100分。</w:t>
      </w:r>
    </w:p>
    <w:p>
      <w:pPr>
        <w:pStyle w:val="33"/>
        <w:numPr>
          <w:ilvl w:val="0"/>
          <w:numId w:val="7"/>
        </w:numPr>
        <w:spacing w:line="400" w:lineRule="exact"/>
        <w:ind w:firstLineChars="0"/>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投标报价（10分）</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加权平均法计算每家平均代理费率（小数点保留3位），各家平均代理费率相加后的平均值为评标基准价，该评标基准价为满分10分。各家的平均代理费率比评标基准价每相差1%（包含正相差和负相差）则价格得分相应减1%，其投标人的价格分按照下列公式计算：</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投标报价得分=（1-|投标报价-评标基准价|/评标基准价）×10（小数点保留3位）</w:t>
      </w:r>
    </w:p>
    <w:tbl>
      <w:tblPr>
        <w:tblStyle w:val="17"/>
        <w:tblW w:w="7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3114"/>
        <w:gridCol w:w="2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082" w:type="dxa"/>
            <w:vAlign w:val="center"/>
          </w:tcPr>
          <w:p>
            <w:pPr>
              <w:spacing w:line="400" w:lineRule="exact"/>
              <w:ind w:firstLine="241"/>
              <w:jc w:val="center"/>
              <w:rPr>
                <w:rFonts w:ascii="宋体" w:hAnsi="宋体"/>
                <w:b/>
                <w:color w:val="000000"/>
                <w:szCs w:val="21"/>
              </w:rPr>
            </w:pPr>
            <w:r>
              <w:rPr>
                <w:rFonts w:hint="eastAsia" w:ascii="宋体" w:hAnsi="宋体"/>
                <w:b/>
                <w:color w:val="000000"/>
                <w:szCs w:val="21"/>
              </w:rPr>
              <w:t>档列</w:t>
            </w:r>
          </w:p>
        </w:tc>
        <w:tc>
          <w:tcPr>
            <w:tcW w:w="3114" w:type="dxa"/>
            <w:vAlign w:val="center"/>
          </w:tcPr>
          <w:p>
            <w:pPr>
              <w:spacing w:line="400" w:lineRule="exact"/>
              <w:ind w:firstLine="241"/>
              <w:jc w:val="center"/>
              <w:rPr>
                <w:rFonts w:ascii="宋体" w:hAnsi="宋体"/>
                <w:b/>
                <w:color w:val="000000"/>
                <w:szCs w:val="21"/>
              </w:rPr>
            </w:pPr>
            <w:r>
              <w:rPr>
                <w:rFonts w:hint="eastAsia" w:ascii="宋体" w:hAnsi="宋体"/>
                <w:b/>
                <w:color w:val="000000"/>
                <w:szCs w:val="21"/>
              </w:rPr>
              <w:t>合同价（单位：美元）</w:t>
            </w:r>
          </w:p>
        </w:tc>
        <w:tc>
          <w:tcPr>
            <w:tcW w:w="2900" w:type="dxa"/>
            <w:vAlign w:val="center"/>
          </w:tcPr>
          <w:p>
            <w:pPr>
              <w:spacing w:line="400" w:lineRule="exact"/>
              <w:ind w:firstLine="241"/>
              <w:jc w:val="center"/>
              <w:rPr>
                <w:rFonts w:ascii="宋体" w:hAnsi="宋体"/>
                <w:b/>
                <w:color w:val="000000"/>
                <w:szCs w:val="21"/>
              </w:rPr>
            </w:pPr>
            <w:r>
              <w:rPr>
                <w:rFonts w:hint="eastAsia" w:ascii="宋体" w:hAnsi="宋体"/>
                <w:b/>
                <w:color w:val="000000"/>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1082" w:type="dxa"/>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3114" w:type="dxa"/>
            <w:vAlign w:val="center"/>
          </w:tcPr>
          <w:p>
            <w:pPr>
              <w:spacing w:line="400" w:lineRule="exact"/>
              <w:rPr>
                <w:rFonts w:ascii="宋体" w:hAnsi="宋体"/>
                <w:color w:val="000000"/>
                <w:szCs w:val="21"/>
              </w:rPr>
            </w:pPr>
            <w:r>
              <w:rPr>
                <w:rFonts w:hint="eastAsia" w:ascii="宋体" w:hAnsi="宋体"/>
                <w:color w:val="000000"/>
                <w:szCs w:val="21"/>
              </w:rPr>
              <w:t>合同价＜10000</w:t>
            </w:r>
          </w:p>
        </w:tc>
        <w:tc>
          <w:tcPr>
            <w:tcW w:w="2900" w:type="dxa"/>
            <w:vAlign w:val="center"/>
          </w:tcPr>
          <w:p>
            <w:pPr>
              <w:spacing w:line="400" w:lineRule="exact"/>
              <w:jc w:val="center"/>
              <w:rPr>
                <w:rFonts w:ascii="宋体" w:hAnsi="宋体"/>
                <w:color w:val="000000"/>
                <w:szCs w:val="21"/>
              </w:rPr>
            </w:pPr>
            <w:r>
              <w:rPr>
                <w:rFonts w:hint="eastAsia" w:ascii="宋体" w:hAnsi="宋体"/>
                <w:color w:val="000000"/>
                <w:szCs w:val="21"/>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jc w:val="center"/>
        </w:trPr>
        <w:tc>
          <w:tcPr>
            <w:tcW w:w="1082" w:type="dxa"/>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3114" w:type="dxa"/>
            <w:vAlign w:val="center"/>
          </w:tcPr>
          <w:p>
            <w:pPr>
              <w:spacing w:line="400" w:lineRule="exact"/>
              <w:rPr>
                <w:rFonts w:ascii="宋体" w:hAnsi="宋体"/>
                <w:color w:val="000000"/>
                <w:szCs w:val="21"/>
              </w:rPr>
            </w:pPr>
            <w:r>
              <w:rPr>
                <w:rFonts w:hint="eastAsia" w:ascii="宋体" w:hAnsi="宋体"/>
                <w:color w:val="000000"/>
                <w:szCs w:val="21"/>
              </w:rPr>
              <w:t>10，000≤合同价＜30，000</w:t>
            </w:r>
          </w:p>
        </w:tc>
        <w:tc>
          <w:tcPr>
            <w:tcW w:w="2900" w:type="dxa"/>
            <w:vAlign w:val="center"/>
          </w:tcPr>
          <w:p>
            <w:pPr>
              <w:spacing w:line="400" w:lineRule="exact"/>
              <w:jc w:val="center"/>
              <w:rPr>
                <w:rFonts w:ascii="宋体" w:hAnsi="宋体"/>
                <w:color w:val="000000"/>
                <w:szCs w:val="21"/>
              </w:rPr>
            </w:pPr>
            <w:r>
              <w:rPr>
                <w:rFonts w:hint="eastAsia" w:ascii="宋体" w:hAnsi="宋体"/>
                <w:color w:val="000000"/>
                <w:szCs w:val="21"/>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jc w:val="center"/>
        </w:trPr>
        <w:tc>
          <w:tcPr>
            <w:tcW w:w="1082"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3114" w:type="dxa"/>
            <w:vAlign w:val="center"/>
          </w:tcPr>
          <w:p>
            <w:pPr>
              <w:spacing w:line="400" w:lineRule="exact"/>
              <w:rPr>
                <w:rFonts w:ascii="宋体" w:hAnsi="宋体"/>
                <w:color w:val="000000"/>
                <w:szCs w:val="21"/>
              </w:rPr>
            </w:pPr>
            <w:r>
              <w:rPr>
                <w:rFonts w:hint="eastAsia" w:ascii="宋体" w:hAnsi="宋体"/>
                <w:color w:val="000000"/>
                <w:szCs w:val="21"/>
              </w:rPr>
              <w:t>30，000≤合同价＜50，000</w:t>
            </w:r>
          </w:p>
        </w:tc>
        <w:tc>
          <w:tcPr>
            <w:tcW w:w="2900" w:type="dxa"/>
            <w:vAlign w:val="center"/>
          </w:tcPr>
          <w:p>
            <w:pPr>
              <w:spacing w:line="400" w:lineRule="exact"/>
              <w:jc w:val="center"/>
              <w:rPr>
                <w:rFonts w:ascii="宋体" w:hAnsi="宋体"/>
                <w:color w:val="000000"/>
                <w:szCs w:val="21"/>
              </w:rPr>
            </w:pPr>
            <w:r>
              <w:rPr>
                <w:rFonts w:hint="eastAsia" w:ascii="宋体" w:hAnsi="宋体"/>
                <w:color w:val="000000"/>
                <w:szCs w:val="21"/>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1082" w:type="dxa"/>
            <w:vAlign w:val="center"/>
          </w:tcPr>
          <w:p>
            <w:pPr>
              <w:spacing w:line="400" w:lineRule="exact"/>
              <w:jc w:val="center"/>
              <w:rPr>
                <w:rFonts w:ascii="宋体" w:hAnsi="宋体"/>
                <w:color w:val="000000"/>
                <w:szCs w:val="21"/>
              </w:rPr>
            </w:pPr>
            <w:r>
              <w:rPr>
                <w:rFonts w:hint="eastAsia" w:ascii="宋体" w:hAnsi="宋体"/>
                <w:color w:val="000000"/>
                <w:szCs w:val="21"/>
              </w:rPr>
              <w:t>4</w:t>
            </w:r>
          </w:p>
        </w:tc>
        <w:tc>
          <w:tcPr>
            <w:tcW w:w="3114" w:type="dxa"/>
            <w:vAlign w:val="center"/>
          </w:tcPr>
          <w:p>
            <w:pPr>
              <w:spacing w:line="400" w:lineRule="exact"/>
              <w:rPr>
                <w:rFonts w:ascii="宋体" w:hAnsi="宋体"/>
                <w:color w:val="000000"/>
                <w:szCs w:val="21"/>
              </w:rPr>
            </w:pPr>
            <w:r>
              <w:rPr>
                <w:rFonts w:hint="eastAsia" w:ascii="宋体" w:hAnsi="宋体"/>
                <w:color w:val="000000"/>
                <w:szCs w:val="21"/>
              </w:rPr>
              <w:t>50，000≤合同价＜100，000</w:t>
            </w:r>
          </w:p>
        </w:tc>
        <w:tc>
          <w:tcPr>
            <w:tcW w:w="2900" w:type="dxa"/>
            <w:vAlign w:val="center"/>
          </w:tcPr>
          <w:p>
            <w:pPr>
              <w:spacing w:line="400" w:lineRule="exact"/>
              <w:jc w:val="center"/>
              <w:rPr>
                <w:rFonts w:ascii="宋体" w:hAnsi="宋体"/>
                <w:color w:val="000000"/>
                <w:szCs w:val="21"/>
              </w:rPr>
            </w:pPr>
            <w:r>
              <w:rPr>
                <w:rFonts w:hint="eastAsia" w:ascii="宋体" w:hAnsi="宋体"/>
                <w:color w:val="000000"/>
                <w:szCs w:val="21"/>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1082" w:type="dxa"/>
            <w:vAlign w:val="center"/>
          </w:tcPr>
          <w:p>
            <w:pPr>
              <w:spacing w:line="400" w:lineRule="exact"/>
              <w:jc w:val="center"/>
              <w:rPr>
                <w:rFonts w:ascii="宋体" w:hAnsi="宋体"/>
                <w:color w:val="000000"/>
                <w:szCs w:val="21"/>
              </w:rPr>
            </w:pPr>
            <w:r>
              <w:rPr>
                <w:rFonts w:hint="eastAsia" w:ascii="宋体" w:hAnsi="宋体"/>
                <w:color w:val="000000"/>
                <w:szCs w:val="21"/>
              </w:rPr>
              <w:t>5</w:t>
            </w:r>
          </w:p>
        </w:tc>
        <w:tc>
          <w:tcPr>
            <w:tcW w:w="3114" w:type="dxa"/>
            <w:vAlign w:val="center"/>
          </w:tcPr>
          <w:p>
            <w:pPr>
              <w:spacing w:line="400" w:lineRule="exact"/>
              <w:rPr>
                <w:rFonts w:ascii="宋体" w:hAnsi="宋体"/>
                <w:color w:val="000000"/>
                <w:szCs w:val="21"/>
              </w:rPr>
            </w:pPr>
            <w:r>
              <w:rPr>
                <w:rFonts w:hint="eastAsia" w:ascii="宋体" w:hAnsi="宋体"/>
                <w:color w:val="000000"/>
                <w:szCs w:val="21"/>
              </w:rPr>
              <w:t>100，000≤合同价＜200，000</w:t>
            </w:r>
          </w:p>
        </w:tc>
        <w:tc>
          <w:tcPr>
            <w:tcW w:w="2900" w:type="dxa"/>
            <w:vAlign w:val="center"/>
          </w:tcPr>
          <w:p>
            <w:pPr>
              <w:spacing w:line="400" w:lineRule="exact"/>
              <w:jc w:val="center"/>
              <w:rPr>
                <w:rFonts w:ascii="宋体" w:hAnsi="宋体"/>
                <w:color w:val="000000"/>
                <w:szCs w:val="21"/>
              </w:rPr>
            </w:pPr>
            <w:r>
              <w:rPr>
                <w:rFonts w:hint="eastAsia" w:ascii="宋体" w:hAnsi="宋体"/>
                <w:color w:val="000000"/>
                <w:szCs w:val="21"/>
              </w:rPr>
              <w:t>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1082" w:type="dxa"/>
            <w:vAlign w:val="center"/>
          </w:tcPr>
          <w:p>
            <w:pPr>
              <w:spacing w:line="400" w:lineRule="exact"/>
              <w:jc w:val="center"/>
              <w:rPr>
                <w:rFonts w:ascii="宋体" w:hAnsi="宋体"/>
                <w:color w:val="000000"/>
                <w:szCs w:val="21"/>
              </w:rPr>
            </w:pPr>
          </w:p>
        </w:tc>
        <w:tc>
          <w:tcPr>
            <w:tcW w:w="3114" w:type="dxa"/>
            <w:vAlign w:val="center"/>
          </w:tcPr>
          <w:p>
            <w:pPr>
              <w:spacing w:line="400" w:lineRule="exact"/>
              <w:jc w:val="center"/>
              <w:rPr>
                <w:rFonts w:ascii="宋体" w:hAnsi="宋体"/>
                <w:color w:val="000000"/>
                <w:szCs w:val="21"/>
              </w:rPr>
            </w:pPr>
            <w:r>
              <w:rPr>
                <w:rFonts w:hint="eastAsia" w:ascii="宋体" w:hAnsi="宋体"/>
                <w:color w:val="000000"/>
                <w:szCs w:val="21"/>
              </w:rPr>
              <w:t>平均代理费率</w:t>
            </w:r>
          </w:p>
        </w:tc>
        <w:tc>
          <w:tcPr>
            <w:tcW w:w="2900" w:type="dxa"/>
            <w:vAlign w:val="center"/>
          </w:tcPr>
          <w:p>
            <w:pPr>
              <w:spacing w:line="400" w:lineRule="exact"/>
              <w:jc w:val="center"/>
              <w:rPr>
                <w:rFonts w:ascii="宋体" w:hAnsi="宋体"/>
                <w:color w:val="000000"/>
                <w:szCs w:val="21"/>
              </w:rPr>
            </w:pPr>
          </w:p>
        </w:tc>
      </w:tr>
    </w:tbl>
    <w:p>
      <w:pPr>
        <w:spacing w:line="400" w:lineRule="exact"/>
        <w:rPr>
          <w:rFonts w:asciiTheme="minorEastAsia" w:hAnsiTheme="minorEastAsia" w:eastAsiaTheme="minorEastAsia"/>
          <w:b/>
          <w:sz w:val="28"/>
          <w:szCs w:val="28"/>
        </w:rPr>
      </w:pPr>
    </w:p>
    <w:p>
      <w:pPr>
        <w:spacing w:line="40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（2）</w:t>
      </w:r>
      <w:r>
        <w:rPr>
          <w:rFonts w:hint="eastAsia" w:asciiTheme="minorEastAsia" w:hAnsiTheme="minorEastAsia" w:eastAsiaTheme="minorEastAsia"/>
          <w:sz w:val="28"/>
          <w:szCs w:val="28"/>
          <w:highlight w:val="none"/>
        </w:rPr>
        <w:t>工作方案及服务承诺（1</w:t>
      </w:r>
      <w:r>
        <w:rPr>
          <w:rFonts w:hint="eastAsia" w:asciiTheme="minorEastAsia" w:hAnsiTheme="minorEastAsia" w:eastAsiaTheme="minorEastAsia"/>
          <w:sz w:val="28"/>
          <w:szCs w:val="28"/>
          <w:highlight w:val="none"/>
          <w:lang w:val="en-US" w:eastAsia="zh-CN"/>
        </w:rPr>
        <w:t>2</w:t>
      </w:r>
      <w:r>
        <w:rPr>
          <w:rFonts w:hint="eastAsia" w:asciiTheme="minorEastAsia" w:hAnsiTheme="minorEastAsia" w:eastAsiaTheme="minorEastAsia"/>
          <w:sz w:val="28"/>
          <w:szCs w:val="28"/>
          <w:highlight w:val="none"/>
        </w:rPr>
        <w:t xml:space="preserve">分） </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1) 针对外贸代理的工作方案，须提供但不限于以下外贸全过程详细流程描述（包含每一环节负责人）及服务详情</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含：购汇付款流程如何（如收到学校款后一次性购汇，或付款给供货商时购汇）；</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是否有专人业务员负责我校相关合同等相关事宜；</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是否有专人负责我校免税及商检办理，驻地何地；</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是否全部专人专车送货，并保证货物包装；</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送货是否运送至指定实验室；</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发票能否与货物及时到达；</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发票上货物货款内容；（付发票样本）</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以上服务内容每提供 1 项，得1分，最高得7分。评标工作组根据对服务要求的响应程度、双方合作情况、投标单位以往工作经历与我校采购需求的匹配度以及服务方案和承诺中的其他实质性内容等方面进行横向评价，优秀的得 </w:t>
      </w:r>
      <w:r>
        <w:rPr>
          <w:rFonts w:hint="eastAsia" w:asciiTheme="minorEastAsia" w:hAnsiTheme="minorEastAsia" w:eastAsiaTheme="minorEastAsia"/>
          <w:bCs/>
          <w:sz w:val="28"/>
          <w:szCs w:val="28"/>
          <w:lang w:val="en-US" w:eastAsia="zh-CN"/>
        </w:rPr>
        <w:t>4</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val="en-US" w:eastAsia="zh-CN"/>
        </w:rPr>
        <w:t>5</w:t>
      </w:r>
      <w:r>
        <w:rPr>
          <w:rFonts w:hint="eastAsia" w:asciiTheme="minorEastAsia" w:hAnsiTheme="minorEastAsia" w:eastAsiaTheme="minorEastAsia"/>
          <w:bCs/>
          <w:sz w:val="28"/>
          <w:szCs w:val="28"/>
        </w:rPr>
        <w:t xml:space="preserve">分，一般得 </w:t>
      </w:r>
      <w:r>
        <w:rPr>
          <w:rFonts w:hint="eastAsia" w:asciiTheme="minorEastAsia" w:hAnsiTheme="minorEastAsia" w:eastAsiaTheme="minorEastAsia"/>
          <w:bCs/>
          <w:sz w:val="28"/>
          <w:szCs w:val="28"/>
          <w:lang w:val="en-US" w:eastAsia="zh-CN"/>
        </w:rPr>
        <w:t>2</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val="en-US" w:eastAsia="zh-CN"/>
        </w:rPr>
        <w:t>3</w:t>
      </w:r>
      <w:r>
        <w:rPr>
          <w:rFonts w:hint="eastAsia" w:asciiTheme="minorEastAsia" w:hAnsiTheme="minorEastAsia" w:eastAsiaTheme="minorEastAsia"/>
          <w:bCs/>
          <w:sz w:val="28"/>
          <w:szCs w:val="28"/>
        </w:rPr>
        <w:t>分，较差得0-</w:t>
      </w:r>
      <w:r>
        <w:rPr>
          <w:rFonts w:hint="eastAsia" w:asciiTheme="minorEastAsia" w:hAnsiTheme="minorEastAsia" w:eastAsiaTheme="minorEastAsia"/>
          <w:bCs/>
          <w:sz w:val="28"/>
          <w:szCs w:val="28"/>
          <w:lang w:val="en-US" w:eastAsia="zh-CN"/>
        </w:rPr>
        <w:t>1</w:t>
      </w:r>
      <w:r>
        <w:rPr>
          <w:rFonts w:hint="eastAsia" w:asciiTheme="minorEastAsia" w:hAnsiTheme="minorEastAsia" w:eastAsiaTheme="minorEastAsia"/>
          <w:bCs/>
          <w:sz w:val="28"/>
          <w:szCs w:val="28"/>
        </w:rPr>
        <w:t>分。</w:t>
      </w:r>
    </w:p>
    <w:p>
      <w:pPr>
        <w:spacing w:line="400" w:lineRule="exact"/>
        <w:ind w:left="709"/>
        <w:rPr>
          <w:rFonts w:asciiTheme="minorEastAsia" w:hAnsiTheme="minorEastAsia" w:eastAsiaTheme="minorEastAsia"/>
          <w:b/>
          <w:sz w:val="28"/>
          <w:szCs w:val="28"/>
        </w:rPr>
      </w:pPr>
      <w:r>
        <w:rPr>
          <w:rFonts w:hint="eastAsia" w:asciiTheme="minorEastAsia" w:hAnsiTheme="minorEastAsia" w:eastAsiaTheme="minorEastAsia"/>
          <w:b/>
          <w:sz w:val="28"/>
          <w:szCs w:val="28"/>
        </w:rPr>
        <w:t>（3）</w:t>
      </w:r>
      <w:r>
        <w:rPr>
          <w:rFonts w:hint="eastAsia" w:asciiTheme="minorEastAsia" w:hAnsiTheme="minorEastAsia" w:eastAsiaTheme="minorEastAsia"/>
          <w:sz w:val="28"/>
          <w:szCs w:val="28"/>
          <w:highlight w:val="none"/>
        </w:rPr>
        <w:t>公司综合实力</w:t>
      </w:r>
      <w:r>
        <w:rPr>
          <w:rFonts w:hint="eastAsia" w:asciiTheme="minorEastAsia" w:hAnsiTheme="minorEastAsia" w:eastAsiaTheme="minorEastAsia"/>
          <w:b/>
          <w:sz w:val="28"/>
          <w:szCs w:val="28"/>
          <w:highlight w:val="none"/>
        </w:rPr>
        <w:t xml:space="preserve">（20分） </w:t>
      </w:r>
      <w:r>
        <w:rPr>
          <w:rFonts w:hint="eastAsia" w:asciiTheme="minorEastAsia" w:hAnsiTheme="minorEastAsia" w:eastAsiaTheme="minorEastAsia"/>
          <w:b/>
          <w:color w:val="FF0000"/>
          <w:sz w:val="28"/>
          <w:szCs w:val="28"/>
        </w:rPr>
        <w:t xml:space="preserve">  </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A．银行出具的授信额度和资信证明（4分）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1.按授信额度打分，授信额度达到一亿元及以上的得 2分，0.5亿元（含）-1亿元（不含）的得1分，0.5亿元以下的得0.5分，不提供的不得分（原件备查）。</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2.银行资信证明原件，不提供不得分（2分）。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B、根据企业内部服务质量管控措施、资金安全保障承诺条件及措施进行横向比较，优得</w:t>
      </w:r>
      <w:r>
        <w:rPr>
          <w:rFonts w:hint="eastAsia" w:asciiTheme="minorEastAsia" w:hAnsiTheme="minorEastAsia" w:eastAsiaTheme="minorEastAsia"/>
          <w:bCs/>
          <w:sz w:val="28"/>
          <w:szCs w:val="28"/>
          <w:lang w:val="en-US" w:eastAsia="zh-CN"/>
        </w:rPr>
        <w:t>4-5</w:t>
      </w:r>
      <w:r>
        <w:rPr>
          <w:rFonts w:hint="eastAsia" w:asciiTheme="minorEastAsia" w:hAnsiTheme="minorEastAsia" w:eastAsiaTheme="minorEastAsia"/>
          <w:bCs/>
          <w:sz w:val="28"/>
          <w:szCs w:val="28"/>
        </w:rPr>
        <w:t>分，一般得</w:t>
      </w:r>
      <w:r>
        <w:rPr>
          <w:rFonts w:hint="eastAsia" w:asciiTheme="minorEastAsia" w:hAnsiTheme="minorEastAsia" w:eastAsiaTheme="minorEastAsia"/>
          <w:bCs/>
          <w:sz w:val="28"/>
          <w:szCs w:val="28"/>
          <w:lang w:val="en-US" w:eastAsia="zh-CN"/>
        </w:rPr>
        <w:t>2-3</w:t>
      </w:r>
      <w:r>
        <w:rPr>
          <w:rFonts w:hint="eastAsia" w:asciiTheme="minorEastAsia" w:hAnsiTheme="minorEastAsia" w:eastAsiaTheme="minorEastAsia"/>
          <w:bCs/>
          <w:sz w:val="28"/>
          <w:szCs w:val="28"/>
        </w:rPr>
        <w:t>分，较差得0-1分.（</w:t>
      </w:r>
      <w:r>
        <w:rPr>
          <w:rFonts w:hint="eastAsia" w:asciiTheme="minorEastAsia" w:hAnsiTheme="minorEastAsia" w:eastAsiaTheme="minorEastAsia"/>
          <w:bCs/>
          <w:sz w:val="28"/>
          <w:szCs w:val="28"/>
          <w:lang w:val="en-US" w:eastAsia="zh-CN"/>
        </w:rPr>
        <w:t>5</w:t>
      </w:r>
      <w:r>
        <w:rPr>
          <w:rFonts w:hint="eastAsia" w:asciiTheme="minorEastAsia" w:hAnsiTheme="minorEastAsia" w:eastAsiaTheme="minorEastAsia"/>
          <w:bCs/>
          <w:sz w:val="28"/>
          <w:szCs w:val="28"/>
        </w:rPr>
        <w:t>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C．海关分类管理级别（2分）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海关分类管理级别 B级及以上得2分，C 级的得 1分，不提供者不得分。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D．海关企业信用管理认证级别（2分）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海关企业信用管理一般信用企业及以上得2分，失信企业得 0 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E. 医疗器械经营许可证（2分）。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具有医疗器械经营许可证的，得2分，否则不得分；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F.危险化学品经营许可证（</w:t>
      </w:r>
      <w:r>
        <w:rPr>
          <w:rFonts w:hint="eastAsia" w:asciiTheme="minorEastAsia" w:hAnsiTheme="minorEastAsia" w:eastAsiaTheme="minorEastAsia"/>
          <w:bCs/>
          <w:sz w:val="28"/>
          <w:szCs w:val="28"/>
          <w:lang w:val="en-US" w:eastAsia="zh-CN"/>
        </w:rPr>
        <w:t>2</w:t>
      </w:r>
      <w:r>
        <w:rPr>
          <w:rFonts w:hint="eastAsia" w:asciiTheme="minorEastAsia" w:hAnsiTheme="minorEastAsia" w:eastAsiaTheme="minorEastAsia"/>
          <w:bCs/>
          <w:sz w:val="28"/>
          <w:szCs w:val="28"/>
        </w:rPr>
        <w:t>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具有危险化学品经营许可证的，得</w:t>
      </w:r>
      <w:r>
        <w:rPr>
          <w:rFonts w:hint="eastAsia" w:asciiTheme="minorEastAsia" w:hAnsiTheme="minorEastAsia" w:eastAsiaTheme="minorEastAsia"/>
          <w:bCs/>
          <w:sz w:val="28"/>
          <w:szCs w:val="28"/>
          <w:lang w:val="en-US" w:eastAsia="zh-CN"/>
        </w:rPr>
        <w:t>2</w:t>
      </w:r>
      <w:r>
        <w:rPr>
          <w:rFonts w:hint="eastAsia" w:asciiTheme="minorEastAsia" w:hAnsiTheme="minorEastAsia" w:eastAsiaTheme="minorEastAsia"/>
          <w:bCs/>
          <w:sz w:val="28"/>
          <w:szCs w:val="28"/>
        </w:rPr>
        <w:t>分，否则不得分.</w:t>
      </w:r>
    </w:p>
    <w:p>
      <w:pPr>
        <w:spacing w:line="360" w:lineRule="auto"/>
        <w:ind w:firstLine="280" w:firstLineChars="100"/>
        <w:rPr>
          <w:rFonts w:asciiTheme="minorEastAsia" w:hAnsiTheme="minorEastAsia" w:eastAsiaTheme="minorEastAsia"/>
          <w:bCs/>
          <w:sz w:val="28"/>
          <w:szCs w:val="28"/>
        </w:rPr>
      </w:pPr>
      <w:r>
        <w:rPr>
          <w:rFonts w:hint="eastAsia" w:asciiTheme="minorEastAsia" w:hAnsiTheme="minorEastAsia" w:eastAsiaTheme="minorEastAsia"/>
          <w:bCs/>
          <w:sz w:val="28"/>
          <w:szCs w:val="28"/>
        </w:rPr>
        <w:t>G. 企业经营及财务状况、行业内知名度及影响力等（</w:t>
      </w:r>
      <w:r>
        <w:rPr>
          <w:rFonts w:hint="eastAsia" w:asciiTheme="minorEastAsia" w:hAnsiTheme="minorEastAsia" w:eastAsiaTheme="minorEastAsia"/>
          <w:bCs/>
          <w:sz w:val="28"/>
          <w:szCs w:val="28"/>
          <w:lang w:val="en-US" w:eastAsia="zh-CN"/>
        </w:rPr>
        <w:t>3</w:t>
      </w:r>
      <w:r>
        <w:rPr>
          <w:rFonts w:hint="eastAsia" w:asciiTheme="minorEastAsia" w:hAnsiTheme="minorEastAsia" w:eastAsiaTheme="minorEastAsia"/>
          <w:bCs/>
          <w:sz w:val="28"/>
          <w:szCs w:val="28"/>
        </w:rPr>
        <w:t>分）</w:t>
      </w:r>
      <w:bookmarkStart w:id="178" w:name="_GoBack"/>
      <w:bookmarkEnd w:id="178"/>
    </w:p>
    <w:p>
      <w:pPr>
        <w:spacing w:line="40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（4）</w:t>
      </w:r>
      <w:r>
        <w:rPr>
          <w:rFonts w:hint="eastAsia" w:asciiTheme="minorEastAsia" w:hAnsiTheme="minorEastAsia" w:eastAsiaTheme="minorEastAsia"/>
          <w:b/>
          <w:sz w:val="28"/>
          <w:szCs w:val="28"/>
          <w:highlight w:val="none"/>
        </w:rPr>
        <w:t>企业业绩（33分）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1、提供自2017年1月1日以来参加省内高校外贸代理招标中标以后与校方签订的委托代理年度协议复印件及中标通知书复印件（网上中标公示截图）以上两份材料都需要加盖公章并同时提供才视为有效，每有一个高校得2分，最多得20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2.提供投标人</w:t>
      </w:r>
      <w:r>
        <w:rPr>
          <w:rFonts w:hint="eastAsia" w:ascii="宋体" w:hAnsi="宋体"/>
          <w:sz w:val="24"/>
          <w:szCs w:val="30"/>
        </w:rPr>
        <w:t>近一年（2018年1月1日以来）</w:t>
      </w:r>
      <w:r>
        <w:rPr>
          <w:rFonts w:hint="eastAsia" w:asciiTheme="minorEastAsia" w:hAnsiTheme="minorEastAsia" w:eastAsiaTheme="minorEastAsia"/>
          <w:bCs/>
          <w:sz w:val="28"/>
          <w:szCs w:val="28"/>
        </w:rPr>
        <w:t>在高校服务期间的业主评价原件，现场查验（评价满意或优秀的视为有效，同一业主单位的不重复计算，须加盖业主单位公章），每提供一个得1分，最高得5分。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3.从事江苏高校外贸代理服务从业时间。15年以上得3分；10-14年得2分，5~9年得1分；4年及以下不得分；需附最早一份江苏高校代理合同复印件。如果投标人发生公司名称变更(公司法人代表必须未发生变化)，须提供工商名称变更证明材料，统计时间截止至2018年12月31日。</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4.根据近三年高校大型仪器设备(单台30万美金或同等金额其他国际流通货币)外贸代理业务情况进行综合评分（5分）。每提供一份代理合同，得0.5分。（提供复印件，原件备查）</w:t>
      </w:r>
    </w:p>
    <w:p>
      <w:pPr>
        <w:spacing w:line="400" w:lineRule="exact"/>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（5）</w:t>
      </w:r>
      <w:r>
        <w:rPr>
          <w:rFonts w:hint="eastAsia" w:asciiTheme="minorEastAsia" w:hAnsiTheme="minorEastAsia" w:eastAsiaTheme="minorEastAsia"/>
          <w:b/>
          <w:sz w:val="28"/>
          <w:szCs w:val="28"/>
          <w:highlight w:val="none"/>
        </w:rPr>
        <w:t>2016~2018办理免税商检等业务能力及经验（5分）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1）有南京市免税办理经验得3分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2）有2个（含）以上除江苏地级市以外的免税办理经验，有一个加1分，最高得2分</w:t>
      </w:r>
    </w:p>
    <w:p>
      <w:pPr>
        <w:spacing w:line="360" w:lineRule="auto"/>
        <w:ind w:firstLine="840" w:firstLineChars="300"/>
        <w:rPr>
          <w:sz w:val="24"/>
        </w:rPr>
      </w:pPr>
      <w:r>
        <w:rPr>
          <w:rFonts w:hint="eastAsia" w:asciiTheme="minorEastAsia" w:hAnsiTheme="minorEastAsia" w:eastAsiaTheme="minorEastAsia"/>
          <w:bCs/>
          <w:sz w:val="28"/>
          <w:szCs w:val="28"/>
        </w:rPr>
        <w:t>办理经验：需要提供属地高校年度合作协议以及属地业务人员配置情况，配置人员需要是外贸公司自有人员；如提供人员为第三方合作公司的，将酌情扣减1~2分。需要提供人员配置情况（含职位、身份证复印件、社保记录复印件。同时提交三年内该地办理的免表复印件2张以上（加盖公章）。</w:t>
      </w:r>
    </w:p>
    <w:p>
      <w:pPr>
        <w:spacing w:line="40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（6）</w:t>
      </w:r>
      <w:r>
        <w:rPr>
          <w:rFonts w:hint="eastAsia" w:asciiTheme="minorEastAsia" w:hAnsiTheme="minorEastAsia" w:eastAsiaTheme="minorEastAsia"/>
          <w:b/>
          <w:sz w:val="28"/>
          <w:szCs w:val="28"/>
          <w:highlight w:val="none"/>
        </w:rPr>
        <w:t xml:space="preserve">现场陈述及答辩（15分） </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根据拟投入本项目的项目经理陈述的公司概况、高校代理情况、服务理念等答辩情况打分，每个投标人现场陈述及答辩时间不超过5分钟。未答辩者不得分。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1.项目经理可以根据公司自身优势和行业背景特色，阐述在外贸代理服务过程中的特殊优势（5分）。</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2、根据我校招标具体要求，结合进口设备采购实际情况阐述针对性服务承诺内容，解决问题的能力，投标人回答用户或专家提出的，高校货物外贸中具体问题进行分析解决（10分）。</w:t>
      </w:r>
    </w:p>
    <w:p>
      <w:pPr>
        <w:spacing w:line="40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（7）</w:t>
      </w:r>
      <w:r>
        <w:rPr>
          <w:rFonts w:hint="eastAsia" w:asciiTheme="minorEastAsia" w:hAnsiTheme="minorEastAsia" w:eastAsiaTheme="minorEastAsia"/>
          <w:b/>
          <w:sz w:val="28"/>
          <w:szCs w:val="28"/>
          <w:highlight w:val="none"/>
        </w:rPr>
        <w:t xml:space="preserve">其它（5分） </w:t>
      </w:r>
      <w:r>
        <w:rPr>
          <w:rFonts w:hint="eastAsia" w:asciiTheme="minorEastAsia" w:hAnsiTheme="minorEastAsia" w:eastAsiaTheme="minorEastAsia"/>
          <w:b/>
          <w:sz w:val="28"/>
          <w:szCs w:val="28"/>
        </w:rPr>
        <w:t xml:space="preserve"> </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1、投标文件质量（2分）。根据投标文件的规范性、完整性等情况综合评定。</w:t>
      </w:r>
    </w:p>
    <w:p>
      <w:pPr>
        <w:spacing w:line="360" w:lineRule="auto"/>
        <w:ind w:firstLine="840" w:firstLineChars="300"/>
        <w:rPr>
          <w:rFonts w:asciiTheme="minorEastAsia" w:hAnsiTheme="minorEastAsia" w:eastAsiaTheme="minorEastAsia"/>
          <w:bCs/>
          <w:sz w:val="28"/>
          <w:szCs w:val="28"/>
        </w:rPr>
      </w:pPr>
      <w:r>
        <w:rPr>
          <w:rFonts w:hint="eastAsia" w:asciiTheme="minorEastAsia" w:hAnsiTheme="minorEastAsia" w:eastAsiaTheme="minorEastAsia"/>
          <w:bCs/>
          <w:sz w:val="28"/>
          <w:szCs w:val="28"/>
        </w:rPr>
        <w:t>2、其它优惠措施等（3分）。根据投标人提供的在招标文件要求范围以外，评委会认可的其它优惠措施情况综合评定。</w:t>
      </w:r>
    </w:p>
    <w:p>
      <w:pPr>
        <w:ind w:firstLine="480" w:firstLineChars="200"/>
        <w:rPr>
          <w:rFonts w:ascii="宋体" w:hAnsi="宋体"/>
          <w:sz w:val="24"/>
          <w:szCs w:val="24"/>
        </w:rPr>
      </w:pPr>
    </w:p>
    <w:p>
      <w:pPr>
        <w:spacing w:line="360" w:lineRule="auto"/>
        <w:rPr>
          <w:rFonts w:ascii="宋体" w:hAnsi="宋体"/>
          <w:sz w:val="24"/>
          <w:szCs w:val="24"/>
        </w:rPr>
      </w:pPr>
    </w:p>
    <w:bookmarkEnd w:id="161"/>
    <w:p>
      <w:pPr>
        <w:pStyle w:val="2"/>
        <w:pageBreakBefore/>
        <w:rPr>
          <w:rFonts w:ascii="宋体" w:hAnsi="宋体" w:eastAsia="宋体"/>
          <w:b/>
          <w:bCs/>
          <w:sz w:val="44"/>
        </w:rPr>
      </w:pPr>
      <w:bookmarkStart w:id="162" w:name="_Toc523931349"/>
      <w:r>
        <w:rPr>
          <w:rFonts w:hint="eastAsia" w:ascii="宋体" w:hAnsi="宋体" w:eastAsia="宋体"/>
          <w:b/>
          <w:bCs/>
          <w:sz w:val="44"/>
        </w:rPr>
        <w:t>第五章  投标文件格式</w:t>
      </w:r>
      <w:bookmarkEnd w:id="162"/>
    </w:p>
    <w:p>
      <w:pPr>
        <w:jc w:val="center"/>
        <w:rPr>
          <w:rFonts w:ascii="宋体" w:hAnsi="宋体"/>
          <w:b/>
          <w:sz w:val="72"/>
        </w:rPr>
      </w:pPr>
      <w:bookmarkStart w:id="163" w:name="_Hlt26671244"/>
      <w:bookmarkEnd w:id="163"/>
      <w:bookmarkStart w:id="164" w:name="_Hlt26955039"/>
      <w:bookmarkEnd w:id="164"/>
      <w:bookmarkStart w:id="165" w:name="_Toc120614282"/>
      <w:bookmarkStart w:id="166" w:name="_Toc26554094"/>
      <w:bookmarkStart w:id="167"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spacing w:line="440" w:lineRule="exact"/>
        <w:jc w:val="center"/>
        <w:rPr>
          <w:rFonts w:ascii="宋体" w:hAnsi="宋体"/>
          <w:b/>
          <w:bCs/>
          <w:sz w:val="32"/>
          <w:szCs w:val="32"/>
        </w:rPr>
      </w:pPr>
      <w:bookmarkStart w:id="168" w:name="_Toc517190894"/>
      <w:r>
        <w:rPr>
          <w:rFonts w:hint="eastAsia" w:ascii="宋体" w:hAnsi="宋体"/>
          <w:b/>
          <w:bCs/>
          <w:sz w:val="32"/>
          <w:szCs w:val="32"/>
        </w:rPr>
        <w:t>投标主要文件目录</w:t>
      </w:r>
    </w:p>
    <w:p>
      <w:pPr>
        <w:spacing w:line="360" w:lineRule="auto"/>
        <w:ind w:firstLine="561"/>
        <w:rPr>
          <w:rFonts w:ascii="宋体" w:hAnsi="宋体"/>
          <w:sz w:val="24"/>
        </w:rPr>
      </w:pPr>
    </w:p>
    <w:p>
      <w:pPr>
        <w:numPr>
          <w:ilvl w:val="0"/>
          <w:numId w:val="8"/>
        </w:numPr>
        <w:spacing w:line="360" w:lineRule="auto"/>
        <w:rPr>
          <w:rFonts w:ascii="宋体" w:hAnsi="宋体"/>
          <w:sz w:val="24"/>
        </w:rPr>
      </w:pPr>
      <w:r>
        <w:rPr>
          <w:rFonts w:hint="eastAsia" w:ascii="宋体" w:hAnsi="宋体"/>
          <w:sz w:val="24"/>
        </w:rPr>
        <w:t>目录</w:t>
      </w:r>
    </w:p>
    <w:p>
      <w:pPr>
        <w:numPr>
          <w:ilvl w:val="0"/>
          <w:numId w:val="8"/>
        </w:numPr>
        <w:spacing w:line="360" w:lineRule="auto"/>
        <w:rPr>
          <w:rFonts w:ascii="宋体" w:hAnsi="宋体"/>
          <w:sz w:val="24"/>
        </w:rPr>
      </w:pPr>
      <w:r>
        <w:rPr>
          <w:rFonts w:hint="eastAsia" w:ascii="宋体" w:hAnsi="宋体"/>
          <w:sz w:val="24"/>
        </w:rPr>
        <w:t>投标函</w:t>
      </w:r>
    </w:p>
    <w:p>
      <w:pPr>
        <w:numPr>
          <w:ilvl w:val="0"/>
          <w:numId w:val="8"/>
        </w:numPr>
        <w:spacing w:line="360" w:lineRule="auto"/>
        <w:rPr>
          <w:rFonts w:ascii="宋体" w:hAnsi="宋体"/>
          <w:sz w:val="24"/>
        </w:rPr>
      </w:pPr>
      <w:r>
        <w:rPr>
          <w:rFonts w:hint="eastAsia" w:ascii="宋体" w:hAnsi="宋体"/>
          <w:sz w:val="24"/>
        </w:rPr>
        <w:t>开标一览表</w:t>
      </w:r>
    </w:p>
    <w:p>
      <w:pPr>
        <w:numPr>
          <w:ilvl w:val="0"/>
          <w:numId w:val="8"/>
        </w:numPr>
        <w:spacing w:line="360" w:lineRule="auto"/>
        <w:rPr>
          <w:rFonts w:ascii="宋体" w:hAnsi="宋体"/>
          <w:sz w:val="24"/>
        </w:rPr>
      </w:pPr>
      <w:r>
        <w:rPr>
          <w:rFonts w:hint="eastAsia" w:ascii="宋体" w:hAnsi="宋体"/>
          <w:sz w:val="24"/>
        </w:rPr>
        <w:t>资格性和符合性检查响应对照及评分索引表</w:t>
      </w:r>
    </w:p>
    <w:p>
      <w:pPr>
        <w:numPr>
          <w:ilvl w:val="0"/>
          <w:numId w:val="8"/>
        </w:numPr>
        <w:spacing w:line="360" w:lineRule="auto"/>
        <w:rPr>
          <w:rFonts w:ascii="宋体" w:hAnsi="宋体"/>
          <w:sz w:val="24"/>
        </w:rPr>
      </w:pPr>
      <w:r>
        <w:rPr>
          <w:rFonts w:hint="eastAsia" w:ascii="宋体" w:hAnsi="宋体"/>
          <w:sz w:val="24"/>
        </w:rPr>
        <w:t>资信证明文件</w:t>
      </w:r>
    </w:p>
    <w:p>
      <w:pPr>
        <w:numPr>
          <w:ilvl w:val="0"/>
          <w:numId w:val="8"/>
        </w:numPr>
        <w:spacing w:line="360" w:lineRule="auto"/>
        <w:rPr>
          <w:rFonts w:ascii="宋体" w:hAnsi="宋体"/>
          <w:sz w:val="24"/>
        </w:rPr>
      </w:pPr>
      <w:bookmarkStart w:id="169" w:name="_Toc197181364"/>
      <w:bookmarkEnd w:id="169"/>
      <w:r>
        <w:rPr>
          <w:rFonts w:hint="eastAsia" w:ascii="宋体" w:hAnsi="宋体"/>
          <w:sz w:val="24"/>
        </w:rPr>
        <w:t>项目需求</w:t>
      </w:r>
      <w:r>
        <w:rPr>
          <w:rFonts w:ascii="宋体" w:hAnsi="宋体"/>
          <w:sz w:val="24"/>
        </w:rPr>
        <w:t>响应表</w:t>
      </w:r>
    </w:p>
    <w:p>
      <w:pPr>
        <w:numPr>
          <w:ilvl w:val="0"/>
          <w:numId w:val="8"/>
        </w:numPr>
        <w:spacing w:line="360" w:lineRule="auto"/>
        <w:rPr>
          <w:rFonts w:ascii="宋体" w:hAnsi="宋体"/>
          <w:sz w:val="24"/>
        </w:rPr>
      </w:pPr>
      <w:r>
        <w:rPr>
          <w:rFonts w:hint="eastAsia" w:ascii="宋体" w:hAnsi="宋体"/>
          <w:sz w:val="24"/>
        </w:rPr>
        <w:t>企业情况介绍（企业资信、业绩）</w:t>
      </w:r>
    </w:p>
    <w:p>
      <w:pPr>
        <w:numPr>
          <w:ilvl w:val="0"/>
          <w:numId w:val="8"/>
        </w:numPr>
        <w:spacing w:line="360" w:lineRule="auto"/>
        <w:rPr>
          <w:rFonts w:ascii="宋体" w:hAnsi="宋体"/>
          <w:sz w:val="24"/>
        </w:rPr>
      </w:pPr>
      <w:r>
        <w:rPr>
          <w:rFonts w:hint="eastAsia" w:ascii="宋体" w:hAnsi="宋体"/>
          <w:sz w:val="24"/>
        </w:rPr>
        <w:t>服务方案及</w:t>
      </w:r>
      <w:r>
        <w:rPr>
          <w:rFonts w:ascii="宋体" w:hAnsi="宋体"/>
          <w:sz w:val="24"/>
        </w:rPr>
        <w:t>人员</w:t>
      </w:r>
      <w:r>
        <w:rPr>
          <w:rFonts w:hint="eastAsia" w:ascii="宋体" w:hAnsi="宋体"/>
          <w:sz w:val="24"/>
        </w:rPr>
        <w:t>情况</w:t>
      </w:r>
      <w:r>
        <w:rPr>
          <w:rFonts w:ascii="宋体" w:hAnsi="宋体"/>
          <w:sz w:val="24"/>
        </w:rPr>
        <w:t>介绍</w:t>
      </w:r>
    </w:p>
    <w:p>
      <w:pPr>
        <w:numPr>
          <w:ilvl w:val="0"/>
          <w:numId w:val="8"/>
        </w:numPr>
        <w:spacing w:line="360" w:lineRule="auto"/>
        <w:rPr>
          <w:rFonts w:ascii="宋体" w:hAnsi="宋体"/>
          <w:sz w:val="24"/>
        </w:rPr>
      </w:pPr>
      <w:r>
        <w:rPr>
          <w:rFonts w:ascii="宋体" w:hAnsi="宋体"/>
          <w:sz w:val="24"/>
        </w:rPr>
        <w:t>投标人认为需要提供的其他文件和资料</w:t>
      </w:r>
    </w:p>
    <w:p>
      <w:pPr>
        <w:spacing w:line="360" w:lineRule="auto"/>
        <w:ind w:left="561"/>
        <w:rPr>
          <w:rFonts w:ascii="宋体" w:hAnsi="宋体"/>
          <w:sz w:val="24"/>
        </w:rPr>
      </w:pPr>
    </w:p>
    <w:p>
      <w:pPr>
        <w:spacing w:line="360" w:lineRule="auto"/>
        <w:rPr>
          <w:rFonts w:ascii="宋体" w:hAnsi="宋体"/>
          <w:sz w:val="24"/>
        </w:rPr>
      </w:pPr>
    </w:p>
    <w:p>
      <w:pPr>
        <w:pStyle w:val="27"/>
        <w:ind w:firstLine="0"/>
        <w:jc w:val="center"/>
        <w:rPr>
          <w:b/>
          <w:sz w:val="32"/>
        </w:rPr>
      </w:pPr>
    </w:p>
    <w:p>
      <w:pPr>
        <w:pStyle w:val="27"/>
        <w:ind w:firstLine="0"/>
        <w:jc w:val="center"/>
        <w:rPr>
          <w:b/>
          <w:sz w:val="32"/>
        </w:rPr>
      </w:pPr>
    </w:p>
    <w:p>
      <w:pPr>
        <w:pStyle w:val="27"/>
        <w:ind w:firstLine="0"/>
        <w:jc w:val="center"/>
        <w:rPr>
          <w:b/>
          <w:sz w:val="32"/>
        </w:rPr>
      </w:pPr>
    </w:p>
    <w:p>
      <w:pPr>
        <w:pStyle w:val="27"/>
        <w:ind w:firstLine="0"/>
        <w:jc w:val="center"/>
        <w:rPr>
          <w:b/>
          <w:sz w:val="32"/>
        </w:rPr>
      </w:pPr>
    </w:p>
    <w:p>
      <w:pPr>
        <w:pStyle w:val="27"/>
        <w:ind w:firstLine="0"/>
        <w:jc w:val="center"/>
        <w:rPr>
          <w:b/>
          <w:sz w:val="32"/>
        </w:rPr>
      </w:pPr>
    </w:p>
    <w:p>
      <w:pPr>
        <w:pStyle w:val="27"/>
        <w:ind w:firstLine="0"/>
        <w:jc w:val="both"/>
        <w:rPr>
          <w:b/>
          <w:sz w:val="32"/>
        </w:rPr>
      </w:pPr>
    </w:p>
    <w:p>
      <w:pPr>
        <w:pStyle w:val="27"/>
        <w:ind w:firstLine="0"/>
        <w:jc w:val="center"/>
        <w:rPr>
          <w:b/>
        </w:rPr>
      </w:pPr>
      <w:r>
        <w:rPr>
          <w:rFonts w:hint="eastAsia"/>
          <w:b/>
          <w:sz w:val="32"/>
        </w:rPr>
        <w:t>二、投标函格式</w:t>
      </w:r>
      <w:bookmarkEnd w:id="168"/>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Theme="minorEastAsia" w:hAnsiTheme="minorEastAsia" w:eastAsiaTheme="minorEastAsia"/>
          <w:sz w:val="36"/>
        </w:rPr>
      </w:pPr>
      <w:r>
        <w:rPr>
          <w:rFonts w:hint="eastAsia" w:ascii="宋体" w:hAnsi="宋体"/>
          <w:kern w:val="2"/>
          <w:sz w:val="28"/>
          <w:szCs w:val="21"/>
        </w:rPr>
        <w:t>日期： ____年__月__日</w:t>
      </w:r>
      <w:bookmarkStart w:id="170" w:name="_Hlt26955070"/>
      <w:bookmarkEnd w:id="170"/>
      <w:bookmarkStart w:id="171" w:name="_Hlt26671380"/>
      <w:bookmarkEnd w:id="171"/>
      <w:bookmarkStart w:id="172" w:name="_格式3__银行出具的资信证明"/>
      <w:bookmarkEnd w:id="172"/>
    </w:p>
    <w:p>
      <w:pPr>
        <w:pStyle w:val="27"/>
        <w:pageBreakBefore/>
        <w:ind w:firstLine="0"/>
        <w:jc w:val="center"/>
        <w:rPr>
          <w:b/>
          <w:sz w:val="32"/>
        </w:rPr>
      </w:pPr>
      <w:bookmarkStart w:id="173" w:name="_Toc517190896"/>
      <w:r>
        <w:rPr>
          <w:rFonts w:hint="eastAsia"/>
          <w:b/>
          <w:sz w:val="32"/>
        </w:rPr>
        <w:t>三、开标一览表</w:t>
      </w:r>
      <w:bookmarkEnd w:id="173"/>
    </w:p>
    <w:p>
      <w:pPr>
        <w:ind w:firstLine="560" w:firstLineChars="200"/>
        <w:rPr>
          <w:rFonts w:asciiTheme="minorEastAsia" w:hAnsiTheme="minorEastAsia" w:eastAsiaTheme="minorEastAsia"/>
          <w:sz w:val="28"/>
          <w:szCs w:val="24"/>
        </w:rPr>
      </w:pPr>
      <w:r>
        <w:rPr>
          <w:rFonts w:hint="eastAsia" w:asciiTheme="minorEastAsia" w:hAnsiTheme="minorEastAsia" w:eastAsiaTheme="minorEastAsia"/>
          <w:sz w:val="28"/>
          <w:szCs w:val="24"/>
        </w:rPr>
        <w:t>项目名称                            项目编号</w:t>
      </w:r>
    </w:p>
    <w:tbl>
      <w:tblPr>
        <w:tblStyle w:val="17"/>
        <w:tblW w:w="7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3020"/>
        <w:gridCol w:w="2196"/>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656" w:type="dxa"/>
            <w:shd w:val="clear" w:color="auto" w:fill="auto"/>
            <w:vAlign w:val="center"/>
          </w:tcPr>
          <w:p>
            <w:pPr>
              <w:spacing w:line="240" w:lineRule="exact"/>
              <w:jc w:val="center"/>
              <w:rPr>
                <w:rFonts w:ascii="宋体" w:hAnsi="宋体"/>
                <w:b/>
                <w:bCs/>
                <w:color w:val="000000"/>
                <w:sz w:val="21"/>
                <w:szCs w:val="21"/>
              </w:rPr>
            </w:pPr>
            <w:r>
              <w:rPr>
                <w:rFonts w:hint="eastAsia" w:ascii="宋体" w:hAnsi="宋体"/>
                <w:b/>
                <w:bCs/>
                <w:color w:val="000000"/>
                <w:sz w:val="21"/>
                <w:szCs w:val="21"/>
              </w:rPr>
              <w:t>档列</w:t>
            </w:r>
          </w:p>
        </w:tc>
        <w:tc>
          <w:tcPr>
            <w:tcW w:w="3020" w:type="dxa"/>
            <w:shd w:val="clear" w:color="auto" w:fill="auto"/>
            <w:vAlign w:val="center"/>
          </w:tcPr>
          <w:p>
            <w:pPr>
              <w:spacing w:line="240" w:lineRule="exact"/>
              <w:jc w:val="center"/>
              <w:rPr>
                <w:rFonts w:ascii="宋体" w:hAnsi="宋体"/>
                <w:b/>
                <w:bCs/>
                <w:color w:val="000000"/>
                <w:sz w:val="21"/>
                <w:szCs w:val="21"/>
              </w:rPr>
            </w:pPr>
            <w:r>
              <w:rPr>
                <w:rFonts w:hint="eastAsia" w:ascii="宋体" w:hAnsi="宋体"/>
                <w:b/>
                <w:bCs/>
                <w:color w:val="000000"/>
                <w:sz w:val="21"/>
                <w:szCs w:val="21"/>
              </w:rPr>
              <w:t>合同价（单位：美元）</w:t>
            </w:r>
          </w:p>
        </w:tc>
        <w:tc>
          <w:tcPr>
            <w:tcW w:w="2196" w:type="dxa"/>
            <w:shd w:val="clear" w:color="auto" w:fill="auto"/>
            <w:vAlign w:val="center"/>
          </w:tcPr>
          <w:p>
            <w:pPr>
              <w:spacing w:line="240" w:lineRule="exact"/>
              <w:jc w:val="center"/>
              <w:rPr>
                <w:rFonts w:ascii="宋体" w:hAnsi="宋体"/>
                <w:b/>
                <w:bCs/>
                <w:color w:val="000000"/>
                <w:sz w:val="21"/>
                <w:szCs w:val="21"/>
              </w:rPr>
            </w:pPr>
            <w:r>
              <w:rPr>
                <w:rFonts w:hint="eastAsia" w:ascii="宋体" w:hAnsi="宋体"/>
                <w:b/>
                <w:bCs/>
                <w:color w:val="000000"/>
                <w:sz w:val="21"/>
                <w:szCs w:val="21"/>
              </w:rPr>
              <w:t>权重（以往年统计）</w:t>
            </w:r>
          </w:p>
        </w:tc>
        <w:tc>
          <w:tcPr>
            <w:tcW w:w="1536" w:type="dxa"/>
            <w:shd w:val="clear" w:color="auto" w:fill="auto"/>
            <w:vAlign w:val="center"/>
          </w:tcPr>
          <w:p>
            <w:pPr>
              <w:spacing w:line="240" w:lineRule="exact"/>
              <w:jc w:val="center"/>
              <w:rPr>
                <w:rFonts w:ascii="宋体" w:hAnsi="宋体"/>
                <w:b/>
                <w:bCs/>
                <w:color w:val="000000"/>
                <w:sz w:val="21"/>
                <w:szCs w:val="21"/>
              </w:rPr>
            </w:pPr>
            <w:r>
              <w:rPr>
                <w:rFonts w:hint="eastAsia" w:ascii="宋体" w:hAnsi="宋体"/>
                <w:b/>
                <w:bCs/>
                <w:color w:val="000000"/>
                <w:sz w:val="21"/>
                <w:szCs w:val="21"/>
              </w:rPr>
              <w:t>每段代理费率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56" w:type="dxa"/>
            <w:shd w:val="clear" w:color="auto" w:fill="auto"/>
            <w:vAlign w:val="center"/>
          </w:tcPr>
          <w:p>
            <w:pPr>
              <w:spacing w:line="240" w:lineRule="exact"/>
              <w:jc w:val="center"/>
              <w:rPr>
                <w:color w:val="000000"/>
                <w:sz w:val="21"/>
                <w:szCs w:val="21"/>
              </w:rPr>
            </w:pPr>
            <w:r>
              <w:rPr>
                <w:rFonts w:hint="eastAsia"/>
                <w:color w:val="000000"/>
                <w:sz w:val="21"/>
                <w:szCs w:val="21"/>
              </w:rPr>
              <w:t>1</w:t>
            </w:r>
          </w:p>
        </w:tc>
        <w:tc>
          <w:tcPr>
            <w:tcW w:w="3020" w:type="dxa"/>
            <w:shd w:val="clear" w:color="auto" w:fill="auto"/>
            <w:vAlign w:val="center"/>
          </w:tcPr>
          <w:p>
            <w:pPr>
              <w:spacing w:line="240" w:lineRule="exact"/>
              <w:jc w:val="center"/>
              <w:rPr>
                <w:color w:val="000000"/>
                <w:sz w:val="21"/>
                <w:szCs w:val="21"/>
              </w:rPr>
            </w:pPr>
            <w:r>
              <w:rPr>
                <w:rFonts w:hint="eastAsia" w:ascii="宋体" w:hAnsi="宋体"/>
                <w:color w:val="000000"/>
                <w:sz w:val="21"/>
                <w:szCs w:val="21"/>
              </w:rPr>
              <w:t>合同价＜10000</w:t>
            </w:r>
          </w:p>
        </w:tc>
        <w:tc>
          <w:tcPr>
            <w:tcW w:w="2196" w:type="dxa"/>
            <w:shd w:val="clear" w:color="auto" w:fill="auto"/>
            <w:vAlign w:val="center"/>
          </w:tcPr>
          <w:p>
            <w:pPr>
              <w:spacing w:line="240" w:lineRule="exact"/>
              <w:jc w:val="center"/>
              <w:rPr>
                <w:color w:val="000000"/>
                <w:sz w:val="21"/>
                <w:szCs w:val="21"/>
              </w:rPr>
            </w:pPr>
            <w:r>
              <w:rPr>
                <w:rFonts w:hint="eastAsia"/>
                <w:color w:val="000000"/>
                <w:sz w:val="21"/>
                <w:szCs w:val="21"/>
              </w:rPr>
              <w:t>1/10</w:t>
            </w:r>
          </w:p>
        </w:tc>
        <w:tc>
          <w:tcPr>
            <w:tcW w:w="1536" w:type="dxa"/>
            <w:shd w:val="clear" w:color="auto" w:fill="auto"/>
            <w:vAlign w:val="center"/>
          </w:tcPr>
          <w:p>
            <w:pPr>
              <w:spacing w:line="24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656" w:type="dxa"/>
            <w:shd w:val="clear" w:color="auto" w:fill="auto"/>
            <w:vAlign w:val="center"/>
          </w:tcPr>
          <w:p>
            <w:pPr>
              <w:spacing w:line="240" w:lineRule="exact"/>
              <w:jc w:val="center"/>
              <w:rPr>
                <w:color w:val="000000"/>
                <w:sz w:val="21"/>
                <w:szCs w:val="21"/>
              </w:rPr>
            </w:pPr>
            <w:r>
              <w:rPr>
                <w:rFonts w:hint="eastAsia"/>
                <w:color w:val="000000"/>
                <w:sz w:val="21"/>
                <w:szCs w:val="21"/>
              </w:rPr>
              <w:t>2</w:t>
            </w:r>
          </w:p>
        </w:tc>
        <w:tc>
          <w:tcPr>
            <w:tcW w:w="3020" w:type="dxa"/>
            <w:shd w:val="clear" w:color="auto" w:fill="auto"/>
            <w:vAlign w:val="center"/>
          </w:tcPr>
          <w:p>
            <w:pPr>
              <w:spacing w:line="240" w:lineRule="exact"/>
              <w:jc w:val="center"/>
              <w:rPr>
                <w:color w:val="000000"/>
                <w:sz w:val="21"/>
                <w:szCs w:val="21"/>
              </w:rPr>
            </w:pPr>
            <w:r>
              <w:rPr>
                <w:rFonts w:hint="eastAsia" w:ascii="宋体" w:hAnsi="宋体"/>
                <w:color w:val="000000"/>
                <w:sz w:val="21"/>
                <w:szCs w:val="21"/>
              </w:rPr>
              <w:t>10，000≤合同价＜30，000</w:t>
            </w:r>
          </w:p>
        </w:tc>
        <w:tc>
          <w:tcPr>
            <w:tcW w:w="2196" w:type="dxa"/>
            <w:shd w:val="clear" w:color="auto" w:fill="auto"/>
            <w:vAlign w:val="center"/>
          </w:tcPr>
          <w:p>
            <w:pPr>
              <w:spacing w:line="240" w:lineRule="exact"/>
              <w:jc w:val="center"/>
              <w:rPr>
                <w:color w:val="000000"/>
                <w:sz w:val="21"/>
                <w:szCs w:val="21"/>
              </w:rPr>
            </w:pPr>
            <w:r>
              <w:rPr>
                <w:rFonts w:hint="eastAsia"/>
                <w:color w:val="000000"/>
                <w:sz w:val="21"/>
                <w:szCs w:val="21"/>
              </w:rPr>
              <w:t>2/10</w:t>
            </w:r>
          </w:p>
        </w:tc>
        <w:tc>
          <w:tcPr>
            <w:tcW w:w="1536" w:type="dxa"/>
            <w:shd w:val="clear" w:color="auto" w:fill="auto"/>
            <w:vAlign w:val="center"/>
          </w:tcPr>
          <w:p>
            <w:pPr>
              <w:spacing w:line="24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56" w:type="dxa"/>
            <w:shd w:val="clear" w:color="auto" w:fill="auto"/>
            <w:vAlign w:val="center"/>
          </w:tcPr>
          <w:p>
            <w:pPr>
              <w:spacing w:line="240" w:lineRule="exact"/>
              <w:jc w:val="center"/>
              <w:rPr>
                <w:color w:val="000000"/>
                <w:sz w:val="21"/>
                <w:szCs w:val="21"/>
              </w:rPr>
            </w:pPr>
            <w:r>
              <w:rPr>
                <w:rFonts w:hint="eastAsia"/>
                <w:color w:val="000000"/>
                <w:sz w:val="21"/>
                <w:szCs w:val="21"/>
              </w:rPr>
              <w:t>3</w:t>
            </w:r>
          </w:p>
        </w:tc>
        <w:tc>
          <w:tcPr>
            <w:tcW w:w="3020" w:type="dxa"/>
            <w:shd w:val="clear" w:color="auto" w:fill="auto"/>
            <w:vAlign w:val="center"/>
          </w:tcPr>
          <w:p>
            <w:pPr>
              <w:spacing w:line="240" w:lineRule="exact"/>
              <w:jc w:val="center"/>
              <w:rPr>
                <w:color w:val="000000"/>
                <w:sz w:val="21"/>
                <w:szCs w:val="21"/>
              </w:rPr>
            </w:pPr>
            <w:r>
              <w:rPr>
                <w:rFonts w:hint="eastAsia" w:ascii="宋体" w:hAnsi="宋体"/>
                <w:color w:val="000000"/>
                <w:sz w:val="21"/>
                <w:szCs w:val="21"/>
              </w:rPr>
              <w:t>30，000≤合同价＜50，000</w:t>
            </w:r>
          </w:p>
        </w:tc>
        <w:tc>
          <w:tcPr>
            <w:tcW w:w="2196" w:type="dxa"/>
            <w:shd w:val="clear" w:color="auto" w:fill="auto"/>
            <w:vAlign w:val="center"/>
          </w:tcPr>
          <w:p>
            <w:pPr>
              <w:spacing w:line="240" w:lineRule="exact"/>
              <w:jc w:val="center"/>
              <w:rPr>
                <w:color w:val="000000"/>
                <w:sz w:val="21"/>
                <w:szCs w:val="21"/>
              </w:rPr>
            </w:pPr>
            <w:r>
              <w:rPr>
                <w:rFonts w:hint="eastAsia"/>
                <w:color w:val="000000"/>
                <w:sz w:val="21"/>
                <w:szCs w:val="21"/>
              </w:rPr>
              <w:t>2/10</w:t>
            </w:r>
          </w:p>
        </w:tc>
        <w:tc>
          <w:tcPr>
            <w:tcW w:w="1536" w:type="dxa"/>
            <w:shd w:val="clear" w:color="auto" w:fill="auto"/>
            <w:vAlign w:val="center"/>
          </w:tcPr>
          <w:p>
            <w:pPr>
              <w:spacing w:line="24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56" w:type="dxa"/>
            <w:shd w:val="clear" w:color="auto" w:fill="auto"/>
            <w:vAlign w:val="center"/>
          </w:tcPr>
          <w:p>
            <w:pPr>
              <w:spacing w:line="240" w:lineRule="exact"/>
              <w:jc w:val="center"/>
              <w:rPr>
                <w:color w:val="000000"/>
                <w:sz w:val="21"/>
                <w:szCs w:val="21"/>
              </w:rPr>
            </w:pPr>
            <w:r>
              <w:rPr>
                <w:rFonts w:hint="eastAsia"/>
                <w:color w:val="000000"/>
                <w:sz w:val="21"/>
                <w:szCs w:val="21"/>
              </w:rPr>
              <w:t>4</w:t>
            </w:r>
          </w:p>
        </w:tc>
        <w:tc>
          <w:tcPr>
            <w:tcW w:w="3020" w:type="dxa"/>
            <w:shd w:val="clear" w:color="auto" w:fill="auto"/>
            <w:vAlign w:val="center"/>
          </w:tcPr>
          <w:p>
            <w:pPr>
              <w:spacing w:line="240" w:lineRule="exact"/>
              <w:jc w:val="center"/>
              <w:rPr>
                <w:color w:val="000000"/>
                <w:sz w:val="21"/>
                <w:szCs w:val="21"/>
              </w:rPr>
            </w:pPr>
            <w:r>
              <w:rPr>
                <w:rFonts w:hint="eastAsia" w:ascii="宋体" w:hAnsi="宋体"/>
                <w:color w:val="000000"/>
                <w:sz w:val="21"/>
                <w:szCs w:val="21"/>
              </w:rPr>
              <w:t>50，000≤合同价＜100，000</w:t>
            </w:r>
          </w:p>
        </w:tc>
        <w:tc>
          <w:tcPr>
            <w:tcW w:w="2196" w:type="dxa"/>
            <w:shd w:val="clear" w:color="auto" w:fill="auto"/>
            <w:vAlign w:val="center"/>
          </w:tcPr>
          <w:p>
            <w:pPr>
              <w:spacing w:line="240" w:lineRule="exact"/>
              <w:jc w:val="center"/>
              <w:rPr>
                <w:color w:val="000000"/>
                <w:sz w:val="21"/>
                <w:szCs w:val="21"/>
              </w:rPr>
            </w:pPr>
            <w:r>
              <w:rPr>
                <w:rFonts w:hint="eastAsia"/>
                <w:color w:val="000000"/>
                <w:sz w:val="21"/>
                <w:szCs w:val="21"/>
              </w:rPr>
              <w:t>3/10</w:t>
            </w:r>
          </w:p>
        </w:tc>
        <w:tc>
          <w:tcPr>
            <w:tcW w:w="1536" w:type="dxa"/>
            <w:shd w:val="clear" w:color="auto" w:fill="auto"/>
            <w:vAlign w:val="center"/>
          </w:tcPr>
          <w:p>
            <w:pPr>
              <w:spacing w:line="24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656" w:type="dxa"/>
            <w:shd w:val="clear" w:color="auto" w:fill="auto"/>
            <w:vAlign w:val="center"/>
          </w:tcPr>
          <w:p>
            <w:pPr>
              <w:spacing w:line="240" w:lineRule="exact"/>
              <w:jc w:val="center"/>
              <w:rPr>
                <w:color w:val="000000"/>
                <w:sz w:val="21"/>
                <w:szCs w:val="21"/>
              </w:rPr>
            </w:pPr>
            <w:r>
              <w:rPr>
                <w:rFonts w:hint="eastAsia"/>
                <w:color w:val="000000"/>
                <w:sz w:val="21"/>
                <w:szCs w:val="21"/>
              </w:rPr>
              <w:t>5</w:t>
            </w:r>
          </w:p>
        </w:tc>
        <w:tc>
          <w:tcPr>
            <w:tcW w:w="3020" w:type="dxa"/>
            <w:shd w:val="clear" w:color="auto" w:fill="auto"/>
            <w:vAlign w:val="center"/>
          </w:tcPr>
          <w:p>
            <w:pPr>
              <w:spacing w:line="240" w:lineRule="exact"/>
              <w:jc w:val="center"/>
              <w:rPr>
                <w:color w:val="000000"/>
                <w:sz w:val="21"/>
                <w:szCs w:val="21"/>
              </w:rPr>
            </w:pPr>
            <w:r>
              <w:rPr>
                <w:rFonts w:hint="eastAsia" w:ascii="宋体" w:hAnsi="宋体"/>
                <w:color w:val="000000"/>
                <w:sz w:val="21"/>
                <w:szCs w:val="21"/>
              </w:rPr>
              <w:t>100，000≤合同价＜200，000</w:t>
            </w:r>
          </w:p>
        </w:tc>
        <w:tc>
          <w:tcPr>
            <w:tcW w:w="2196" w:type="dxa"/>
            <w:shd w:val="clear" w:color="auto" w:fill="auto"/>
            <w:vAlign w:val="center"/>
          </w:tcPr>
          <w:p>
            <w:pPr>
              <w:spacing w:line="240" w:lineRule="exact"/>
              <w:jc w:val="center"/>
              <w:rPr>
                <w:color w:val="000000"/>
                <w:sz w:val="21"/>
                <w:szCs w:val="21"/>
              </w:rPr>
            </w:pPr>
            <w:r>
              <w:rPr>
                <w:rFonts w:hint="eastAsia"/>
                <w:color w:val="000000"/>
                <w:sz w:val="21"/>
                <w:szCs w:val="21"/>
              </w:rPr>
              <w:t>2/10</w:t>
            </w:r>
          </w:p>
        </w:tc>
        <w:tc>
          <w:tcPr>
            <w:tcW w:w="1536" w:type="dxa"/>
            <w:shd w:val="clear" w:color="auto" w:fill="auto"/>
            <w:vAlign w:val="center"/>
          </w:tcPr>
          <w:p>
            <w:pPr>
              <w:spacing w:line="240" w:lineRule="exact"/>
              <w:jc w:val="center"/>
              <w:rPr>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656" w:type="dxa"/>
            <w:shd w:val="clear" w:color="auto" w:fill="auto"/>
            <w:vAlign w:val="center"/>
          </w:tcPr>
          <w:p>
            <w:pPr>
              <w:spacing w:line="240" w:lineRule="exact"/>
              <w:jc w:val="center"/>
              <w:rPr>
                <w:color w:val="000000"/>
                <w:sz w:val="21"/>
                <w:szCs w:val="21"/>
              </w:rPr>
            </w:pPr>
          </w:p>
        </w:tc>
        <w:tc>
          <w:tcPr>
            <w:tcW w:w="3020" w:type="dxa"/>
            <w:shd w:val="clear" w:color="auto" w:fill="auto"/>
            <w:vAlign w:val="center"/>
          </w:tcPr>
          <w:p>
            <w:pPr>
              <w:spacing w:line="240" w:lineRule="exact"/>
              <w:jc w:val="center"/>
              <w:rPr>
                <w:sz w:val="21"/>
                <w:szCs w:val="21"/>
              </w:rPr>
            </w:pPr>
            <w:r>
              <w:rPr>
                <w:rFonts w:hint="eastAsia" w:ascii="宋体" w:hAnsi="宋体"/>
                <w:sz w:val="21"/>
                <w:szCs w:val="21"/>
              </w:rPr>
              <w:t>平均代理费率</w:t>
            </w:r>
          </w:p>
        </w:tc>
        <w:tc>
          <w:tcPr>
            <w:tcW w:w="3732" w:type="dxa"/>
            <w:gridSpan w:val="2"/>
            <w:shd w:val="clear" w:color="auto" w:fill="auto"/>
          </w:tcPr>
          <w:p>
            <w:pPr>
              <w:spacing w:line="240" w:lineRule="exact"/>
              <w:jc w:val="center"/>
              <w:rPr>
                <w:color w:val="000000"/>
                <w:sz w:val="21"/>
                <w:szCs w:val="21"/>
              </w:rPr>
            </w:pPr>
          </w:p>
        </w:tc>
      </w:tr>
    </w:tbl>
    <w:p>
      <w:pPr>
        <w:spacing w:line="220" w:lineRule="exact"/>
        <w:rPr>
          <w:rFonts w:ascii="Arial" w:hAnsi="Arial" w:eastAsia="宋体" w:cs="Times New Roman"/>
          <w:bCs/>
          <w:kern w:val="2"/>
          <w:sz w:val="28"/>
          <w:szCs w:val="28"/>
        </w:rPr>
      </w:pPr>
    </w:p>
    <w:p>
      <w:pPr>
        <w:spacing w:line="220" w:lineRule="exact"/>
        <w:rPr>
          <w:rFonts w:ascii="Arial" w:hAnsi="Arial" w:eastAsia="宋体" w:cs="Times New Roman"/>
          <w:bCs/>
          <w:kern w:val="2"/>
          <w:sz w:val="28"/>
          <w:szCs w:val="28"/>
        </w:rPr>
      </w:pPr>
      <w:r>
        <w:rPr>
          <w:rFonts w:hint="eastAsia" w:ascii="Arial" w:hAnsi="Arial" w:eastAsia="宋体" w:cs="Times New Roman"/>
          <w:bCs/>
          <w:kern w:val="2"/>
          <w:sz w:val="28"/>
          <w:szCs w:val="28"/>
        </w:rPr>
        <w:t>备注:</w:t>
      </w:r>
    </w:p>
    <w:p>
      <w:pPr>
        <w:spacing w:line="220" w:lineRule="exact"/>
        <w:rPr>
          <w:rFonts w:ascii="宋体" w:hAnsi="宋体" w:eastAsia="宋体" w:cs="宋体"/>
          <w:bCs/>
          <w:kern w:val="2"/>
          <w:sz w:val="21"/>
          <w:szCs w:val="21"/>
        </w:rPr>
      </w:pPr>
      <w:r>
        <w:rPr>
          <w:rFonts w:hint="eastAsia" w:ascii="宋体" w:hAnsi="宋体" w:eastAsia="宋体" w:cs="宋体"/>
          <w:bCs/>
          <w:kern w:val="2"/>
          <w:sz w:val="21"/>
          <w:szCs w:val="21"/>
        </w:rPr>
        <w:t>（1）代理费率=进口代理合同汇率—银行外汇牌价的卖出价汇率。</w:t>
      </w:r>
    </w:p>
    <w:p>
      <w:pPr>
        <w:spacing w:line="220" w:lineRule="exact"/>
        <w:ind w:firstLine="630" w:firstLineChars="300"/>
        <w:rPr>
          <w:rFonts w:ascii="宋体" w:hAnsi="宋体" w:eastAsia="宋体" w:cs="宋体"/>
          <w:bCs/>
          <w:kern w:val="2"/>
          <w:sz w:val="21"/>
          <w:szCs w:val="21"/>
        </w:rPr>
      </w:pPr>
      <w:r>
        <w:rPr>
          <w:rFonts w:hint="eastAsia" w:ascii="宋体" w:hAnsi="宋体" w:eastAsia="宋体" w:cs="宋体"/>
          <w:bCs/>
          <w:kern w:val="2"/>
          <w:sz w:val="21"/>
          <w:szCs w:val="21"/>
        </w:rPr>
        <w:t>平均代理费率=∑每段代理费率*每段权重</w:t>
      </w:r>
    </w:p>
    <w:p>
      <w:pPr>
        <w:spacing w:line="220" w:lineRule="exact"/>
        <w:rPr>
          <w:rFonts w:ascii="宋体" w:hAnsi="宋体" w:eastAsia="宋体" w:cs="宋体"/>
          <w:bCs/>
          <w:kern w:val="2"/>
          <w:sz w:val="21"/>
          <w:szCs w:val="21"/>
        </w:rPr>
      </w:pPr>
      <w:r>
        <w:rPr>
          <w:rFonts w:hint="eastAsia" w:ascii="宋体" w:hAnsi="宋体" w:eastAsia="宋体" w:cs="宋体"/>
          <w:bCs/>
          <w:kern w:val="2"/>
          <w:sz w:val="21"/>
          <w:szCs w:val="21"/>
        </w:rPr>
        <w:t>（2）如合同价为美元以外（欧元等）成交的，则代理费按付汇当日的银行牌价折算成美元计算。</w:t>
      </w:r>
    </w:p>
    <w:p>
      <w:pPr>
        <w:spacing w:line="220" w:lineRule="exact"/>
        <w:rPr>
          <w:rFonts w:ascii="宋体" w:hAnsi="宋体" w:eastAsia="宋体" w:cs="宋体"/>
          <w:bCs/>
          <w:kern w:val="2"/>
          <w:sz w:val="21"/>
          <w:szCs w:val="21"/>
        </w:rPr>
      </w:pPr>
      <w:r>
        <w:rPr>
          <w:rFonts w:hint="eastAsia" w:ascii="宋体" w:hAnsi="宋体" w:eastAsia="宋体" w:cs="宋体"/>
          <w:bCs/>
          <w:kern w:val="2"/>
          <w:sz w:val="21"/>
          <w:szCs w:val="21"/>
        </w:rPr>
        <w:t>（3）合同价为20万美元及以上的，由中标的外贸代理商与招标人洽谈确定。</w:t>
      </w:r>
    </w:p>
    <w:p>
      <w:pPr>
        <w:spacing w:line="220" w:lineRule="exact"/>
        <w:rPr>
          <w:rFonts w:ascii="宋体" w:hAnsi="宋体" w:eastAsia="宋体" w:cs="宋体"/>
          <w:bCs/>
          <w:kern w:val="2"/>
          <w:sz w:val="21"/>
          <w:szCs w:val="21"/>
        </w:rPr>
      </w:pPr>
      <w:r>
        <w:rPr>
          <w:rFonts w:hint="eastAsia" w:ascii="宋体" w:hAnsi="宋体" w:eastAsia="宋体" w:cs="宋体"/>
          <w:bCs/>
          <w:kern w:val="2"/>
          <w:sz w:val="21"/>
          <w:szCs w:val="21"/>
        </w:rPr>
        <w:t>（4）每单合同总金额（单位：人民币）=外贸合同总价（单位：美元）Χ（签约当日银行外汇牌价的卖出价汇率+该段代理费率）</w:t>
      </w:r>
    </w:p>
    <w:p>
      <w:pPr>
        <w:spacing w:line="220" w:lineRule="exact"/>
        <w:rPr>
          <w:rFonts w:ascii="宋体" w:hAnsi="宋体" w:eastAsia="宋体" w:cs="宋体"/>
          <w:bCs/>
          <w:kern w:val="2"/>
          <w:sz w:val="21"/>
          <w:szCs w:val="21"/>
        </w:rPr>
      </w:pPr>
      <w:r>
        <w:rPr>
          <w:rFonts w:hint="eastAsia" w:ascii="宋体" w:hAnsi="宋体" w:eastAsia="宋体" w:cs="宋体"/>
          <w:bCs/>
          <w:kern w:val="2"/>
          <w:sz w:val="21"/>
          <w:szCs w:val="21"/>
        </w:rPr>
        <w:t>（5）本项目投标人的报价应为包干总价，包括银行开证与付汇手续费、办理免表相关费用、国内运杂费（港口至采购人目的现场运保费用）、报关费、港杂费用、海关 监管费、办理商检相关费用（商检费除外）、动植检、卫检、办理各项证书等一切费用以及外贸代理业务服务费等费用。</w:t>
      </w:r>
    </w:p>
    <w:p>
      <w:pPr>
        <w:spacing w:line="220" w:lineRule="exact"/>
        <w:ind w:firstLine="576"/>
        <w:rPr>
          <w:rFonts w:ascii="宋体" w:hAnsi="宋体" w:eastAsia="宋体" w:cs="宋体"/>
          <w:bCs/>
          <w:kern w:val="2"/>
          <w:sz w:val="21"/>
          <w:szCs w:val="21"/>
        </w:rPr>
      </w:pPr>
      <w:r>
        <w:rPr>
          <w:rFonts w:hint="eastAsia" w:ascii="宋体" w:hAnsi="宋体" w:eastAsia="宋体" w:cs="宋体"/>
          <w:bCs/>
          <w:kern w:val="2"/>
          <w:sz w:val="21"/>
          <w:szCs w:val="21"/>
        </w:rPr>
        <w:t>额外发生费用说明：</w:t>
      </w:r>
    </w:p>
    <w:p>
      <w:pPr>
        <w:spacing w:line="220" w:lineRule="exact"/>
        <w:ind w:firstLine="576"/>
        <w:rPr>
          <w:rFonts w:ascii="宋体" w:hAnsi="宋体" w:eastAsia="宋体" w:cs="宋体"/>
          <w:bCs/>
          <w:kern w:val="2"/>
          <w:sz w:val="21"/>
          <w:szCs w:val="21"/>
        </w:rPr>
      </w:pPr>
      <w:r>
        <w:rPr>
          <w:rFonts w:hint="eastAsia" w:ascii="宋体" w:hAnsi="宋体" w:eastAsia="宋体" w:cs="宋体"/>
          <w:bCs/>
          <w:kern w:val="2"/>
          <w:sz w:val="21"/>
          <w:szCs w:val="21"/>
        </w:rPr>
        <w:t>1、税费：如因国家政策等原因不能免税的，代理服务商应书面通知采购人，在采购人同意的情况下，税费由采购人承担，代理服务商代为垫付，结算时按垫付的税费单据与采购人一并结算。</w:t>
      </w:r>
    </w:p>
    <w:p>
      <w:pPr>
        <w:spacing w:line="220" w:lineRule="exact"/>
        <w:ind w:firstLine="576"/>
        <w:rPr>
          <w:rFonts w:ascii="宋体" w:hAnsi="宋体" w:eastAsia="宋体" w:cs="宋体"/>
          <w:sz w:val="21"/>
          <w:szCs w:val="21"/>
        </w:rPr>
      </w:pPr>
      <w:r>
        <w:rPr>
          <w:rFonts w:hint="eastAsia" w:ascii="宋体" w:hAnsi="宋体" w:eastAsia="宋体" w:cs="宋体"/>
          <w:bCs/>
          <w:kern w:val="2"/>
          <w:sz w:val="21"/>
          <w:szCs w:val="21"/>
        </w:rPr>
        <w:t>2、货物滞纳金：如因代理服务商的责任引起的滞纳金由代理服务商承担；如因采购人的责任引起的滞纳金由采购人承担。</w:t>
      </w:r>
    </w:p>
    <w:p>
      <w:pPr>
        <w:spacing w:line="220" w:lineRule="exact"/>
        <w:ind w:firstLine="211" w:firstLineChars="100"/>
        <w:rPr>
          <w:rFonts w:ascii="宋体" w:hAnsi="宋体" w:eastAsia="宋体" w:cs="宋体"/>
          <w:b/>
          <w:kern w:val="2"/>
          <w:sz w:val="21"/>
          <w:szCs w:val="21"/>
        </w:rPr>
      </w:pPr>
      <w:r>
        <w:rPr>
          <w:rFonts w:hint="eastAsia" w:ascii="宋体" w:hAnsi="宋体" w:eastAsia="宋体" w:cs="宋体"/>
          <w:b/>
          <w:kern w:val="2"/>
          <w:sz w:val="21"/>
          <w:szCs w:val="21"/>
        </w:rPr>
        <w:t>（6）评标小组根据综合评分确定中标单位，不一定以报价最低确定中标候选人，五档金额划分以我校实际执行经验和参照其他兄弟高校为依据，五档不拆分中标。</w:t>
      </w:r>
    </w:p>
    <w:p>
      <w:pPr>
        <w:spacing w:line="220" w:lineRule="exact"/>
        <w:ind w:firstLine="211" w:firstLineChars="100"/>
        <w:rPr>
          <w:rFonts w:ascii="宋体" w:hAnsi="宋体" w:eastAsia="宋体" w:cs="宋体"/>
          <w:b/>
          <w:kern w:val="2"/>
          <w:sz w:val="21"/>
          <w:szCs w:val="21"/>
        </w:rPr>
      </w:pPr>
      <w:r>
        <w:rPr>
          <w:rFonts w:hint="eastAsia" w:ascii="宋体" w:hAnsi="宋体" w:eastAsia="宋体" w:cs="宋体"/>
          <w:b/>
          <w:kern w:val="2"/>
          <w:sz w:val="21"/>
          <w:szCs w:val="21"/>
        </w:rPr>
        <w:t>（7）</w:t>
      </w:r>
      <w:r>
        <w:rPr>
          <w:rFonts w:hint="eastAsia" w:ascii="宋体" w:hAnsi="宋体" w:eastAsia="宋体" w:cs="宋体"/>
          <w:b/>
          <w:kern w:val="2"/>
          <w:sz w:val="21"/>
          <w:szCs w:val="21"/>
          <w:highlight w:val="none"/>
        </w:rPr>
        <w:t>评标小组将按照评标原则确定</w:t>
      </w:r>
      <w:bookmarkStart w:id="174" w:name="_Hlk512201711"/>
      <w:r>
        <w:rPr>
          <w:rFonts w:hint="eastAsia" w:ascii="宋体" w:hAnsi="宋体" w:eastAsia="宋体" w:cs="宋体"/>
          <w:b/>
          <w:kern w:val="2"/>
          <w:sz w:val="21"/>
          <w:szCs w:val="21"/>
          <w:highlight w:val="none"/>
        </w:rPr>
        <w:t>4家正式外贸代理商并以4家正式中标人代理费率的低值签订协议，如因正式代理商服务不专业，出现厂家或用户投诉，效率慢耽误学校采购进度等类似问题，投标人有权立即终止其服务（无论是否在协议期内），</w:t>
      </w:r>
      <w:bookmarkEnd w:id="174"/>
      <w:r>
        <w:rPr>
          <w:rFonts w:hint="eastAsia" w:ascii="宋体" w:hAnsi="宋体" w:eastAsia="宋体" w:cs="宋体"/>
          <w:b/>
          <w:kern w:val="2"/>
          <w:sz w:val="21"/>
          <w:szCs w:val="21"/>
          <w:highlight w:val="none"/>
        </w:rPr>
        <w:t>学校将按照国家有关规定处理。</w:t>
      </w:r>
    </w:p>
    <w:p>
      <w:pPr>
        <w:ind w:firstLine="3220" w:firstLineChars="1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3407" w:firstLineChars="1217"/>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60" w:lineRule="exact"/>
        <w:rPr>
          <w:rFonts w:asciiTheme="minorEastAsia" w:hAnsiTheme="minorEastAsia" w:eastAsiaTheme="minorEastAsia"/>
          <w:bCs/>
          <w:sz w:val="28"/>
        </w:rPr>
      </w:pPr>
    </w:p>
    <w:p>
      <w:pPr>
        <w:spacing w:line="440" w:lineRule="exact"/>
        <w:rPr>
          <w:rFonts w:ascii="宋体" w:hAnsi="宋体"/>
          <w:sz w:val="24"/>
        </w:rPr>
      </w:pPr>
    </w:p>
    <w:p>
      <w:pPr>
        <w:widowControl w:val="0"/>
        <w:adjustRightInd/>
        <w:snapToGrid/>
        <w:spacing w:after="0"/>
        <w:jc w:val="center"/>
        <w:rPr>
          <w:rFonts w:ascii="宋体" w:hAnsi="宋体" w:cs="Times New Roman"/>
          <w:b/>
          <w:kern w:val="2"/>
          <w:sz w:val="32"/>
          <w:szCs w:val="32"/>
        </w:rPr>
      </w:pPr>
    </w:p>
    <w:p>
      <w:pPr>
        <w:widowControl w:val="0"/>
        <w:adjustRightInd/>
        <w:snapToGrid/>
        <w:spacing w:after="0"/>
        <w:jc w:val="center"/>
        <w:rPr>
          <w:rFonts w:ascii="宋体" w:hAnsi="宋体" w:cs="Times New Roman"/>
          <w:b/>
          <w:kern w:val="2"/>
          <w:sz w:val="36"/>
          <w:szCs w:val="36"/>
        </w:rPr>
      </w:pPr>
      <w:r>
        <w:rPr>
          <w:rFonts w:hint="eastAsia" w:ascii="宋体" w:hAnsi="宋体" w:cs="Times New Roman"/>
          <w:b/>
          <w:kern w:val="2"/>
          <w:sz w:val="36"/>
          <w:szCs w:val="36"/>
        </w:rPr>
        <w:t>四、资格性和符合性检查响应对照及评分索引表</w:t>
      </w:r>
    </w:p>
    <w:p>
      <w:pPr>
        <w:widowControl w:val="0"/>
        <w:adjustRightInd/>
        <w:snapToGrid/>
        <w:spacing w:after="0"/>
        <w:ind w:firstLine="309"/>
        <w:jc w:val="both"/>
        <w:rPr>
          <w:rFonts w:ascii="宋体" w:hAnsi="宋体" w:cs="Times New Roman"/>
          <w:kern w:val="2"/>
          <w:sz w:val="24"/>
          <w:szCs w:val="24"/>
        </w:rPr>
      </w:pPr>
    </w:p>
    <w:p>
      <w:pPr>
        <w:widowControl w:val="0"/>
        <w:adjustRightInd/>
        <w:snapToGrid/>
        <w:spacing w:after="0"/>
        <w:ind w:firstLine="309"/>
        <w:jc w:val="both"/>
        <w:rPr>
          <w:rFonts w:ascii="宋体" w:hAnsi="宋体" w:cs="Times New Roman"/>
          <w:kern w:val="2"/>
          <w:sz w:val="24"/>
          <w:szCs w:val="24"/>
        </w:rPr>
      </w:pPr>
      <w:r>
        <w:rPr>
          <w:rFonts w:hint="eastAsia" w:ascii="宋体" w:hAnsi="宋体" w:cs="Times New Roman"/>
          <w:kern w:val="2"/>
          <w:sz w:val="24"/>
          <w:szCs w:val="24"/>
        </w:rPr>
        <w:t>投标人全称（加盖公章）：</w:t>
      </w:r>
    </w:p>
    <w:tbl>
      <w:tblPr>
        <w:tblStyle w:val="17"/>
        <w:tblW w:w="877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206"/>
        <w:gridCol w:w="3539"/>
        <w:gridCol w:w="216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序号</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资格性和符合性检查响应内容</w:t>
            </w: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是否响应</w:t>
            </w:r>
          </w:p>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（填是或者否）</w:t>
            </w: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投标文件中的</w:t>
            </w:r>
          </w:p>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1</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2</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3</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4</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5</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6</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80" w:type="dxa"/>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7</w:t>
            </w:r>
          </w:p>
        </w:tc>
        <w:tc>
          <w:tcPr>
            <w:tcW w:w="3745" w:type="dxa"/>
            <w:gridSpan w:val="2"/>
            <w:vAlign w:val="center"/>
          </w:tcPr>
          <w:p>
            <w:pPr>
              <w:widowControl w:val="0"/>
              <w:adjustRightInd/>
              <w:spacing w:after="0" w:line="240" w:lineRule="atLeast"/>
              <w:jc w:val="center"/>
              <w:rPr>
                <w:rFonts w:ascii="幼圆" w:hAnsi="Calibri" w:eastAsia="幼圆" w:cs="Times New Roman"/>
                <w:b/>
                <w:kern w:val="2"/>
                <w:sz w:val="21"/>
                <w:szCs w:val="21"/>
              </w:rPr>
            </w:pPr>
          </w:p>
        </w:tc>
        <w:tc>
          <w:tcPr>
            <w:tcW w:w="2160" w:type="dxa"/>
            <w:vAlign w:val="center"/>
          </w:tcPr>
          <w:p>
            <w:pPr>
              <w:widowControl w:val="0"/>
              <w:adjustRightInd/>
              <w:spacing w:after="0" w:line="240" w:lineRule="atLeast"/>
              <w:jc w:val="center"/>
              <w:rPr>
                <w:rFonts w:ascii="幼圆" w:hAnsi="Calibri" w:eastAsia="幼圆" w:cs="Times New Roman"/>
                <w:b/>
                <w:kern w:val="2"/>
                <w:sz w:val="21"/>
                <w:szCs w:val="21"/>
              </w:rPr>
            </w:pPr>
          </w:p>
        </w:tc>
        <w:tc>
          <w:tcPr>
            <w:tcW w:w="2190" w:type="dxa"/>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07" w:hRule="atLeast"/>
        </w:trPr>
        <w:tc>
          <w:tcPr>
            <w:tcW w:w="4425" w:type="dxa"/>
            <w:gridSpan w:val="3"/>
            <w:tcBorders>
              <w:top w:val="single" w:color="000000" w:sz="4" w:space="0"/>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评分项</w:t>
            </w: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r>
              <w:rPr>
                <w:rFonts w:hint="eastAsia" w:ascii="幼圆" w:hAnsi="Calibri" w:eastAsia="幼圆" w:cs="Times New Roman"/>
                <w:b/>
                <w:kern w:val="2"/>
                <w:sz w:val="21"/>
                <w:szCs w:val="21"/>
              </w:rPr>
              <w:t>在投标文件中的页码位置</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70" w:hRule="atLeast"/>
        </w:trPr>
        <w:tc>
          <w:tcPr>
            <w:tcW w:w="4425" w:type="dxa"/>
            <w:gridSpan w:val="3"/>
            <w:tcBorders>
              <w:top w:val="single" w:color="000000" w:sz="4" w:space="0"/>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70" w:hRule="atLeast"/>
        </w:trPr>
        <w:tc>
          <w:tcPr>
            <w:tcW w:w="886" w:type="dxa"/>
            <w:gridSpan w:val="2"/>
            <w:vMerge w:val="restart"/>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7" w:hRule="atLeast"/>
        </w:trPr>
        <w:tc>
          <w:tcPr>
            <w:tcW w:w="886" w:type="dxa"/>
            <w:gridSpan w:val="2"/>
            <w:vMerge w:val="continue"/>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05" w:hRule="atLeast"/>
        </w:trPr>
        <w:tc>
          <w:tcPr>
            <w:tcW w:w="886" w:type="dxa"/>
            <w:gridSpan w:val="2"/>
            <w:vMerge w:val="continue"/>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98" w:hRule="atLeast"/>
        </w:trPr>
        <w:tc>
          <w:tcPr>
            <w:tcW w:w="886" w:type="dxa"/>
            <w:gridSpan w:val="2"/>
            <w:vMerge w:val="continue"/>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7" w:hRule="atLeast"/>
        </w:trPr>
        <w:tc>
          <w:tcPr>
            <w:tcW w:w="886" w:type="dxa"/>
            <w:gridSpan w:val="2"/>
            <w:vMerge w:val="restart"/>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7" w:hRule="atLeast"/>
        </w:trPr>
        <w:tc>
          <w:tcPr>
            <w:tcW w:w="886" w:type="dxa"/>
            <w:gridSpan w:val="2"/>
            <w:vMerge w:val="continue"/>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7" w:hRule="atLeast"/>
        </w:trPr>
        <w:tc>
          <w:tcPr>
            <w:tcW w:w="886" w:type="dxa"/>
            <w:gridSpan w:val="2"/>
            <w:vMerge w:val="continue"/>
            <w:tcBorders>
              <w:top w:val="nil"/>
              <w:left w:val="single" w:color="000000" w:sz="4" w:space="0"/>
              <w:bottom w:val="nil"/>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17" w:hRule="atLeast"/>
        </w:trPr>
        <w:tc>
          <w:tcPr>
            <w:tcW w:w="886" w:type="dxa"/>
            <w:gridSpan w:val="2"/>
            <w:tcBorders>
              <w:top w:val="nil"/>
              <w:left w:val="single" w:color="000000" w:sz="4" w:space="0"/>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3539" w:type="dxa"/>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c>
          <w:tcPr>
            <w:tcW w:w="4350" w:type="dxa"/>
            <w:gridSpan w:val="2"/>
            <w:tcBorders>
              <w:top w:val="single" w:color="000000" w:sz="4" w:space="0"/>
              <w:left w:val="nil"/>
              <w:bottom w:val="single" w:color="000000" w:sz="4" w:space="0"/>
              <w:right w:val="single" w:color="000000" w:sz="4" w:space="0"/>
            </w:tcBorders>
            <w:vAlign w:val="center"/>
          </w:tcPr>
          <w:p>
            <w:pPr>
              <w:widowControl w:val="0"/>
              <w:adjustRightInd/>
              <w:spacing w:after="0" w:line="240" w:lineRule="atLeast"/>
              <w:jc w:val="center"/>
              <w:rPr>
                <w:rFonts w:ascii="幼圆" w:hAnsi="Calibri" w:eastAsia="幼圆" w:cs="Times New Roman"/>
                <w:b/>
                <w:kern w:val="2"/>
                <w:sz w:val="21"/>
                <w:szCs w:val="21"/>
              </w:rPr>
            </w:pPr>
          </w:p>
        </w:tc>
      </w:tr>
    </w:tbl>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widowControl w:val="0"/>
        <w:adjustRightInd/>
        <w:snapToGrid/>
        <w:spacing w:after="0"/>
        <w:jc w:val="center"/>
        <w:rPr>
          <w:rFonts w:ascii="宋体" w:hAnsi="宋体" w:eastAsia="宋体" w:cs="Times New Roman"/>
          <w:b/>
          <w:kern w:val="2"/>
          <w:sz w:val="36"/>
          <w:szCs w:val="36"/>
        </w:rPr>
      </w:pPr>
      <w:r>
        <w:rPr>
          <w:rFonts w:hint="eastAsia" w:ascii="宋体" w:hAnsi="宋体" w:eastAsia="宋体" w:cs="Times New Roman"/>
          <w:b/>
          <w:kern w:val="2"/>
          <w:sz w:val="36"/>
          <w:szCs w:val="36"/>
        </w:rPr>
        <w:t>五、资格性文件证明材料</w:t>
      </w:r>
    </w:p>
    <w:p>
      <w:pPr>
        <w:pStyle w:val="43"/>
        <w:spacing w:line="360" w:lineRule="auto"/>
        <w:ind w:firstLine="560"/>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（1）法人授权委托书（复印件）；</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（2）法定代表人的身份证复印件；</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（3）授权代表的身份证复印件（开标现场查验原件）；</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（4）</w:t>
      </w:r>
      <w:r>
        <w:rPr>
          <w:rFonts w:hint="eastAsia" w:asciiTheme="minorEastAsia" w:hAnsiTheme="minorEastAsia" w:eastAsiaTheme="minorEastAsia"/>
          <w:bCs/>
          <w:szCs w:val="28"/>
        </w:rPr>
        <w:t>2017年度财务审计报告</w:t>
      </w:r>
      <w:r>
        <w:rPr>
          <w:rFonts w:hint="eastAsia" w:asciiTheme="minorEastAsia" w:hAnsiTheme="minorEastAsia" w:eastAsiaTheme="minorEastAsia"/>
          <w:szCs w:val="24"/>
        </w:rPr>
        <w:t>（成立不满一年不需提供）</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（5）法人或者其他组织的营业执照等证明文件（复印件）；</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（6）近三个月依法缴纳税收和社会保障资金的相关材料；</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（7）无违法违规记录声明；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（8）在“信用中国”（www.creditchina.gov.cn）或“诚信江苏”（www.jscredit.gov.cn）或中国政府采购网（www.ccgp.gov.cn）查询的、自本采购公告发布之日至投标截止前的信用记录的截图。</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（9）《对外贸易经营者备案登记表》复印件；</w:t>
      </w:r>
    </w:p>
    <w:p>
      <w:pPr>
        <w:pStyle w:val="43"/>
        <w:spacing w:line="360" w:lineRule="auto"/>
        <w:ind w:firstLine="560"/>
        <w:rPr>
          <w:rFonts w:ascii="Arial" w:hAnsi="Arial"/>
          <w:b/>
          <w:sz w:val="32"/>
          <w:szCs w:val="24"/>
        </w:rPr>
      </w:pPr>
      <w:r>
        <w:rPr>
          <w:rFonts w:hint="eastAsia" w:asciiTheme="minorEastAsia" w:hAnsiTheme="minorEastAsia" w:eastAsiaTheme="minorEastAsia"/>
          <w:szCs w:val="24"/>
        </w:rPr>
        <w:t>（10）具备海关及商检部门的登记备案证明文件；</w:t>
      </w:r>
      <w:bookmarkEnd w:id="165"/>
      <w:bookmarkEnd w:id="166"/>
      <w:bookmarkEnd w:id="167"/>
      <w:bookmarkStart w:id="175" w:name="_Toc120614284"/>
    </w:p>
    <w:p>
      <w:pPr>
        <w:jc w:val="both"/>
        <w:rPr>
          <w:rFonts w:ascii="Arial" w:hAnsi="Arial" w:eastAsia="宋体" w:cs="Times New Roman"/>
          <w:b/>
          <w:sz w:val="32"/>
          <w:szCs w:val="24"/>
        </w:rPr>
      </w:pPr>
    </w:p>
    <w:p>
      <w:pPr>
        <w:pStyle w:val="4"/>
        <w:jc w:val="center"/>
        <w:rPr>
          <w:rFonts w:ascii="宋体" w:hAnsi="宋体"/>
        </w:rPr>
      </w:pPr>
      <w:r>
        <w:rPr>
          <w:rFonts w:hint="eastAsia" w:ascii="宋体" w:hAnsi="宋体"/>
          <w:bCs w:val="0"/>
          <w:sz w:val="24"/>
        </w:rPr>
        <w:t xml:space="preserve">  </w:t>
      </w:r>
      <w:r>
        <w:rPr>
          <w:rFonts w:hint="eastAsia" w:ascii="宋体" w:hAnsi="宋体"/>
          <w:bCs w:val="0"/>
        </w:rPr>
        <w:t>无违法违规记录</w:t>
      </w:r>
      <w:r>
        <w:rPr>
          <w:rFonts w:ascii="宋体" w:hAnsi="宋体"/>
          <w:bCs w:val="0"/>
        </w:rPr>
        <w:t>声明</w:t>
      </w:r>
    </w:p>
    <w:p>
      <w:pPr>
        <w:ind w:firstLine="480" w:firstLineChars="200"/>
        <w:rPr>
          <w:rFonts w:ascii="宋体" w:hAnsi="宋体"/>
          <w:sz w:val="24"/>
        </w:rPr>
      </w:pPr>
      <w:r>
        <w:rPr>
          <w:rFonts w:hint="eastAsia" w:ascii="宋体" w:hAnsi="宋体"/>
          <w:sz w:val="24"/>
        </w:rPr>
        <w:t>本单位在经营活动中没有违法违规记录，近三年内没有被司法部门或行业主管部门处罚，无</w:t>
      </w:r>
      <w:r>
        <w:rPr>
          <w:rFonts w:ascii="宋体" w:hAnsi="宋体"/>
          <w:sz w:val="24"/>
        </w:rPr>
        <w:t>被政府职能部门认定</w:t>
      </w:r>
      <w:r>
        <w:rPr>
          <w:rFonts w:hint="eastAsia" w:ascii="宋体" w:hAnsi="宋体"/>
          <w:sz w:val="24"/>
        </w:rPr>
        <w:t>有</w:t>
      </w:r>
      <w:r>
        <w:rPr>
          <w:rFonts w:ascii="宋体" w:hAnsi="宋体"/>
          <w:sz w:val="24"/>
        </w:rPr>
        <w:t>行贿和欺诈行为。</w:t>
      </w:r>
    </w:p>
    <w:p>
      <w:pPr>
        <w:ind w:firstLine="480" w:firstLineChars="200"/>
        <w:rPr>
          <w:rFonts w:ascii="宋体" w:hAnsi="宋体"/>
          <w:sz w:val="24"/>
        </w:rPr>
      </w:pPr>
    </w:p>
    <w:p>
      <w:pPr>
        <w:ind w:firstLine="480" w:firstLineChars="200"/>
        <w:rPr>
          <w:rFonts w:ascii="宋体" w:hAnsi="宋体"/>
          <w:sz w:val="24"/>
        </w:rPr>
      </w:pPr>
      <w:r>
        <w:rPr>
          <w:rFonts w:hint="eastAsia" w:ascii="宋体" w:hAnsi="宋体"/>
          <w:sz w:val="24"/>
        </w:rPr>
        <w:t xml:space="preserve">                                              特此声明</w:t>
      </w:r>
    </w:p>
    <w:p>
      <w:pPr>
        <w:ind w:firstLine="480" w:firstLineChars="200"/>
        <w:rPr>
          <w:rFonts w:ascii="宋体" w:hAnsi="宋体"/>
          <w:sz w:val="24"/>
        </w:rPr>
      </w:pPr>
      <w:r>
        <w:rPr>
          <w:rFonts w:hint="eastAsia" w:ascii="宋体" w:hAnsi="宋体"/>
          <w:sz w:val="24"/>
        </w:rPr>
        <w:t xml:space="preserve">                                              声明人</w:t>
      </w:r>
      <w:r>
        <w:rPr>
          <w:rFonts w:ascii="宋体" w:hAnsi="宋体"/>
          <w:sz w:val="24"/>
        </w:rPr>
        <w:t>：</w:t>
      </w:r>
    </w:p>
    <w:p>
      <w:pPr>
        <w:ind w:firstLine="480" w:firstLineChars="200"/>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 法定代表人签字：</w:t>
      </w:r>
      <w:r>
        <w:rPr>
          <w:rFonts w:hint="eastAsia" w:hAnsi="宋体"/>
          <w:u w:val="single"/>
        </w:rPr>
        <w:t xml:space="preserve">             </w:t>
      </w:r>
    </w:p>
    <w:p>
      <w:pPr>
        <w:pStyle w:val="4"/>
        <w:rPr>
          <w:rFonts w:asciiTheme="minorEastAsia" w:hAnsiTheme="minorEastAsia" w:eastAsiaTheme="minorEastAsia"/>
          <w:sz w:val="28"/>
          <w:szCs w:val="28"/>
        </w:rPr>
      </w:pPr>
      <w:r>
        <w:rPr>
          <w:rFonts w:hint="eastAsia" w:ascii="宋体" w:hAnsi="宋体"/>
          <w:bCs w:val="0"/>
          <w:sz w:val="24"/>
          <w:szCs w:val="24"/>
        </w:rPr>
        <w:t>“信用中国”或“诚信江苏”或中国政府采购网查询的信用记录截图证明</w:t>
      </w:r>
      <w:bookmarkEnd w:id="175"/>
    </w:p>
    <w:p>
      <w:pPr>
        <w:pStyle w:val="27"/>
        <w:ind w:firstLine="0"/>
        <w:rPr>
          <w:rFonts w:asciiTheme="minorEastAsia" w:hAnsiTheme="minorEastAsia" w:eastAsiaTheme="minorEastAsia"/>
          <w:sz w:val="28"/>
          <w:szCs w:val="28"/>
        </w:rPr>
      </w:pPr>
    </w:p>
    <w:p>
      <w:pPr>
        <w:pStyle w:val="27"/>
        <w:ind w:firstLine="0"/>
        <w:jc w:val="center"/>
        <w:rPr>
          <w:b/>
          <w:sz w:val="32"/>
        </w:rPr>
      </w:pPr>
      <w:bookmarkStart w:id="176" w:name="_Toc517190895"/>
      <w:r>
        <w:rPr>
          <w:rFonts w:hint="eastAsia"/>
          <w:b/>
          <w:sz w:val="32"/>
        </w:rPr>
        <w:t>法人授权书</w:t>
      </w:r>
      <w:bookmarkEnd w:id="176"/>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spacing w:line="360" w:lineRule="auto"/>
        <w:jc w:val="center"/>
        <w:rPr>
          <w:rFonts w:ascii="黑体" w:hAnsi="黑体" w:eastAsia="黑体"/>
          <w:sz w:val="32"/>
          <w:szCs w:val="32"/>
        </w:rPr>
      </w:pPr>
    </w:p>
    <w:p>
      <w:pPr>
        <w:pStyle w:val="27"/>
        <w:ind w:firstLine="0"/>
        <w:jc w:val="center"/>
        <w:rPr>
          <w:b/>
          <w:sz w:val="32"/>
        </w:rPr>
      </w:pPr>
      <w:r>
        <w:rPr>
          <w:rFonts w:hint="eastAsia"/>
          <w:b/>
          <w:sz w:val="32"/>
        </w:rPr>
        <w:t>六、项目需求响应表</w:t>
      </w:r>
    </w:p>
    <w:tbl>
      <w:tblPr>
        <w:tblStyle w:val="17"/>
        <w:tblW w:w="8528"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33"/>
        <w:gridCol w:w="2085"/>
        <w:gridCol w:w="2459"/>
        <w:gridCol w:w="25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1"/>
                <w:szCs w:val="21"/>
              </w:rPr>
            </w:pPr>
            <w:r>
              <w:rPr>
                <w:rFonts w:hint="eastAsia" w:ascii="仿宋_GB2312" w:hAnsi="宋体"/>
                <w:sz w:val="21"/>
                <w:szCs w:val="21"/>
              </w:rPr>
              <w:t>项目</w:t>
            </w: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1"/>
                <w:szCs w:val="21"/>
              </w:rPr>
            </w:pPr>
            <w:r>
              <w:rPr>
                <w:rFonts w:hint="eastAsia" w:ascii="仿宋_GB2312" w:hAnsi="宋体"/>
                <w:sz w:val="21"/>
                <w:szCs w:val="21"/>
              </w:rPr>
              <w:t>采购文件要求</w:t>
            </w: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sz w:val="21"/>
                <w:szCs w:val="21"/>
              </w:rPr>
            </w:pPr>
            <w:r>
              <w:rPr>
                <w:rFonts w:hint="eastAsia" w:ascii="仿宋_GB2312" w:hAnsi="宋体"/>
                <w:sz w:val="21"/>
                <w:szCs w:val="21"/>
              </w:rPr>
              <w:t>是否响应（正/负偏离）</w:t>
            </w: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sz w:val="21"/>
                <w:szCs w:val="21"/>
              </w:rPr>
            </w:pPr>
            <w:r>
              <w:rPr>
                <w:rFonts w:hint="eastAsia" w:ascii="仿宋_GB2312" w:hAnsi="宋体"/>
                <w:sz w:val="21"/>
                <w:szCs w:val="21"/>
              </w:rPr>
              <w:t>投标人的承诺或说明原因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4"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sz w:val="24"/>
              </w:rPr>
            </w:pPr>
          </w:p>
        </w:tc>
        <w:tc>
          <w:tcPr>
            <w:tcW w:w="2459"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sz w:val="24"/>
              </w:rPr>
            </w:pPr>
          </w:p>
        </w:tc>
        <w:tc>
          <w:tcPr>
            <w:tcW w:w="2459"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ind w:left="43"/>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宋体" w:hAnsi="宋体"/>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sz w:val="24"/>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1433"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085"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459"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c>
          <w:tcPr>
            <w:tcW w:w="2551" w:type="dxa"/>
            <w:tcBorders>
              <w:top w:val="single" w:color="auto" w:sz="4" w:space="0"/>
              <w:left w:val="single" w:color="auto" w:sz="4" w:space="0"/>
              <w:bottom w:val="single" w:color="auto" w:sz="4" w:space="0"/>
              <w:right w:val="single" w:color="auto" w:sz="4" w:space="0"/>
            </w:tcBorders>
          </w:tcPr>
          <w:p>
            <w:pPr>
              <w:spacing w:beforeLines="50"/>
              <w:jc w:val="center"/>
              <w:rPr>
                <w:rFonts w:ascii="仿宋_GB2312" w:hAnsi="宋体" w:eastAsia="仿宋_GB2312"/>
                <w:sz w:val="24"/>
                <w:szCs w:val="20"/>
              </w:rPr>
            </w:pPr>
          </w:p>
        </w:tc>
      </w:tr>
    </w:tbl>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黑体" w:hAnsi="黑体" w:eastAsia="黑体"/>
          <w:b/>
          <w:bCs/>
          <w:sz w:val="32"/>
          <w:szCs w:val="32"/>
        </w:rPr>
      </w:pPr>
    </w:p>
    <w:p>
      <w:pPr>
        <w:pStyle w:val="27"/>
        <w:ind w:firstLine="0"/>
        <w:jc w:val="center"/>
        <w:rPr>
          <w:rFonts w:ascii="黑体" w:hAnsi="黑体" w:eastAsia="黑体"/>
          <w:b/>
          <w:bCs/>
          <w:sz w:val="32"/>
          <w:szCs w:val="32"/>
        </w:rPr>
      </w:pPr>
      <w:r>
        <w:rPr>
          <w:rFonts w:hint="eastAsia"/>
          <w:b/>
          <w:sz w:val="32"/>
        </w:rPr>
        <w:t>七、企业情况介绍（企业资信、业绩）</w:t>
      </w:r>
    </w:p>
    <w:p>
      <w:pPr>
        <w:spacing w:line="360" w:lineRule="auto"/>
        <w:jc w:val="center"/>
        <w:rPr>
          <w:rFonts w:ascii="黑体" w:hAnsi="黑体" w:eastAsia="黑体"/>
          <w:b/>
          <w:bCs/>
          <w:sz w:val="32"/>
          <w:szCs w:val="32"/>
        </w:rPr>
      </w:pPr>
    </w:p>
    <w:p>
      <w:pPr>
        <w:pStyle w:val="27"/>
        <w:ind w:firstLine="0"/>
        <w:jc w:val="center"/>
        <w:rPr>
          <w:rFonts w:ascii="黑体" w:hAnsi="黑体" w:eastAsia="黑体" w:cs="Arial"/>
          <w:b/>
          <w:color w:val="000000"/>
          <w:sz w:val="32"/>
          <w:szCs w:val="32"/>
        </w:rPr>
      </w:pPr>
      <w:r>
        <w:rPr>
          <w:rFonts w:hint="eastAsia"/>
          <w:b/>
          <w:sz w:val="32"/>
        </w:rPr>
        <w:t>八、服务方案及人员情况介绍</w:t>
      </w:r>
      <w:bookmarkStart w:id="177" w:name="_Toc197181362"/>
      <w:bookmarkEnd w:id="177"/>
    </w:p>
    <w:p>
      <w:pPr>
        <w:spacing w:line="360" w:lineRule="auto"/>
        <w:jc w:val="center"/>
        <w:rPr>
          <w:rFonts w:ascii="黑体" w:hAnsi="黑体" w:eastAsia="黑体" w:cs="Arial"/>
          <w:b/>
          <w:color w:val="000000"/>
          <w:sz w:val="32"/>
          <w:szCs w:val="32"/>
        </w:rPr>
      </w:pPr>
    </w:p>
    <w:p>
      <w:pPr>
        <w:spacing w:line="360" w:lineRule="auto"/>
        <w:jc w:val="center"/>
        <w:rPr>
          <w:rFonts w:ascii="Arial" w:hAnsi="Arial" w:eastAsia="宋体" w:cs="Times New Roman"/>
          <w:b/>
          <w:sz w:val="32"/>
          <w:szCs w:val="24"/>
        </w:rPr>
      </w:pPr>
    </w:p>
    <w:p>
      <w:pPr>
        <w:spacing w:line="360" w:lineRule="auto"/>
        <w:jc w:val="center"/>
        <w:rPr>
          <w:rFonts w:ascii="Arial" w:hAnsi="Arial" w:eastAsia="宋体" w:cs="Times New Roman"/>
          <w:b/>
          <w:sz w:val="32"/>
          <w:szCs w:val="24"/>
        </w:rPr>
      </w:pPr>
      <w:r>
        <w:rPr>
          <w:rFonts w:hint="eastAsia" w:ascii="Arial" w:hAnsi="Arial" w:eastAsia="宋体" w:cs="Times New Roman"/>
          <w:b/>
          <w:sz w:val="32"/>
          <w:szCs w:val="24"/>
        </w:rPr>
        <w:t>九、投标人认为需要提供的其他文件和资料</w:t>
      </w: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spacing w:line="480" w:lineRule="auto"/>
        <w:jc w:val="center"/>
        <w:rPr>
          <w:rFonts w:ascii="黑体" w:eastAsia="黑体"/>
          <w:sz w:val="32"/>
          <w:szCs w:val="32"/>
        </w:rPr>
      </w:pPr>
      <w:r>
        <w:rPr>
          <w:rFonts w:hint="eastAsia" w:ascii="黑体" w:eastAsia="黑体"/>
          <w:sz w:val="32"/>
          <w:szCs w:val="32"/>
        </w:rPr>
        <w:t>南京医科大学进口产品委托代理服务协议</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甲方（委托方）：南京医科大学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乙方（受托方）：                             </w:t>
      </w:r>
      <w:r>
        <w:rPr>
          <w:rFonts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根据国家《关于对外贸易代理制的暂行规定》和《合同法》的有关规定，甲、乙双方就甲方委托乙方就进口物品委托代理服务事宜，双方友好协商，达成如下协议。</w:t>
      </w:r>
    </w:p>
    <w:p>
      <w:pPr>
        <w:spacing w:beforeLines="50" w:afterLines="50" w:line="500" w:lineRule="exact"/>
        <w:ind w:firstLine="480" w:firstLineChars="200"/>
        <w:rPr>
          <w:rFonts w:asciiTheme="minorEastAsia" w:hAnsiTheme="minorEastAsia" w:eastAsiaTheme="minorEastAsia"/>
          <w:sz w:val="24"/>
          <w:szCs w:val="24"/>
        </w:rPr>
      </w:pPr>
      <w:r>
        <w:rPr>
          <w:rFonts w:hint="eastAsia" w:cs="Courier New" w:asciiTheme="minorEastAsia" w:hAnsiTheme="minorEastAsia" w:eastAsiaTheme="minorEastAsia"/>
          <w:kern w:val="2"/>
          <w:sz w:val="24"/>
          <w:szCs w:val="24"/>
        </w:rPr>
        <w:t>协议期限：叁年（2019年6月-2022年5月）。服务合同根据最终中标的外贸代理商年度服务情况实行年度审核，代理合同一年一签，年度审核合格的单位续签下一年度的外贸代理合同；对年审不合格的代理商，学校有权终止外贸代理合同。</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合同内容</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甲方委托乙方为其办理其进口物品的外贸代理手续。</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甲方责任</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甲方负责按有关规定采购物品，将确定的物品配置清单，技术参数及合同价款通知乙方，并协助乙方确定与外方合同的条款，提供办理进口手续的有关材料。</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甲方负责落实进口物品所需的资金，并按乙方同外方所签采购合同中付款方式支付。</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设备抵达使用方安装、正常运行后，甲方应及时组织验收，甲方的负责人和管理部门在《仪器设备验收报告》上签意见、签名并盖甲方公章，同时甲方须向乙方提供验收报告正本一份。</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乙方责任</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与外方签定外贸合同，对外开立信用证、付汇、核销、清关、商检、提货、运输等手续，并协助为甲方办理其中（包括但不限于）：设备的机电产品进口证明，大型特定产品、配额产品的审批及可免税设备的免税手续等。</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乙方必须保证所提供货物是从中国海关合法渠道进口，严格按合同规定的时间、数量、品种和规格进行，如发生差错，一切后果和对甲方造成的损失由乙方负全部责任。</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外贸合同须由甲方确认后生效。乙方应向甲方提供与进口有关的文件复印件一份（包括机电产品进口证明及海关进口报关单等）</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乙方自签定合同后两个月内，按质保量向甲方提供进口物品，安全及时把货物运抵使用地点。在货物到达前，须提前2-3天告知甲方货物抵达学校的具体时间及其他详细情况。</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如外方违反合同，由乙方按合同规定，在征得甲方同意后并获得有关商检证明后（货到使用方三个月内），对外方提起诉讼、索赔。必要时，提请仲裁机关进行仲裁，由此而产生的费用按有关法律规定执行。</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代理服务费</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1、代理服务费为外贸合同中美元数额×代理包干费率，单位为人民币。</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2、外贸代理服务费包含：银行费用、国内运费、报关费用、港杂费用、港口至甲方目的现场运保费、办理各项证书等一切费用。</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3、代理服务费按签订收到货款当日中国银行外汇牌价的卖出价为基础汇率。</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4、如合同价为美元以外（欧元等）成交的，则代理服务费按付汇当时的银行牌价折算成美元计算。</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付款条件</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1、与技术协议一致。</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2、详见每单外贸代理协议。</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1、如属甲方责任造成乙方违约所发生的损失由甲方承担。</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2、如属乙方责任给甲方造成损失的，由乙方承担。</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双方任意一方违约造成损失的，由违约方承担违约责任。</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争议解决</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1、本协议在执行过程中，双方若发生争执，应通过友好协商解决。</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2、如双方无法达成一致，则任何一方均有权向甲方所在地法院提出诉讼。</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其他适宜</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1、本合同未尽事宜，双方及时协调解决。</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2、本协议一式肆份，甲方叁份，乙方壹份，具有同等法律效力，并自双方代表人签字，盖章后生效，至合同执行完毕。</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p>
    <w:p>
      <w:pPr>
        <w:spacing w:line="360" w:lineRule="auto"/>
        <w:jc w:val="center"/>
        <w:rPr>
          <w:rFonts w:asciiTheme="minorEastAsia" w:hAnsiTheme="minorEastAsia" w:eastAsiaTheme="minorEastAsia"/>
          <w:sz w:val="24"/>
          <w:szCs w:val="28"/>
        </w:rPr>
      </w:pPr>
      <w:r>
        <w:rPr>
          <w:rFonts w:hint="eastAsia" w:ascii="宋体" w:hAnsi="宋体" w:eastAsia="宋体"/>
          <w:b/>
          <w:bCs/>
          <w:sz w:val="36"/>
          <w:szCs w:val="36"/>
        </w:rPr>
        <w:t>第七章  附      件</w:t>
      </w:r>
    </w:p>
    <w:p>
      <w:pPr>
        <w:spacing w:beforeLines="100" w:afterLines="150"/>
        <w:jc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b/>
          <w:sz w:val="44"/>
          <w:szCs w:val="44"/>
        </w:rPr>
        <w:t>报名投标确认函</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南京医科大学资产和产业管理处：</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我单位自愿参与贵校   （项目名称及编号）    项目的投标，现发确认函并做出以下承诺：</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1、我单位完全符合采购公告中的供应商资质要求；</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2、我单位已按照采购文件要求缴纳投标保证金（招标公告内另行规定的除外）并会准时参加本次采购的投标；</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3、我单位在投标过程中会严格遵守国家法律法规以及贵校相关管理规定；</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4、我单位与本项目相关负责人之间均不存在可能影响公正性的任何利害关系。</w:t>
      </w:r>
    </w:p>
    <w:p>
      <w:pPr>
        <w:widowControl w:val="0"/>
        <w:adjustRightInd/>
        <w:snapToGrid/>
        <w:spacing w:after="0" w:line="360" w:lineRule="auto"/>
        <w:jc w:val="both"/>
        <w:rPr>
          <w:rFonts w:ascii="宋体" w:hAnsi="宋体" w:eastAsia="宋体" w:cs="宋体"/>
          <w:sz w:val="28"/>
          <w:szCs w:val="28"/>
        </w:rPr>
      </w:pPr>
      <w:r>
        <w:rPr>
          <w:rFonts w:hint="eastAsia" w:ascii="宋体" w:hAnsi="宋体" w:eastAsia="宋体" w:cs="宋体"/>
          <w:sz w:val="28"/>
          <w:szCs w:val="28"/>
        </w:rPr>
        <w:t>如我单位提供虚假信息或未履行以上承诺，贵校可取消我单位参与投标的资格并作出相应的预定损害赔偿而非罚款。</w:t>
      </w:r>
    </w:p>
    <w:p>
      <w:pPr>
        <w:widowControl w:val="0"/>
        <w:adjustRightInd/>
        <w:snapToGrid/>
        <w:spacing w:after="0" w:line="360" w:lineRule="auto"/>
        <w:jc w:val="both"/>
        <w:rPr>
          <w:rFonts w:ascii="宋体" w:hAnsi="宋体" w:eastAsia="宋体" w:cs="宋体"/>
          <w:sz w:val="28"/>
          <w:szCs w:val="28"/>
        </w:rPr>
      </w:pPr>
    </w:p>
    <w:p>
      <w:pPr>
        <w:widowControl w:val="0"/>
        <w:adjustRightInd/>
        <w:snapToGrid/>
        <w:spacing w:after="0" w:line="360" w:lineRule="auto"/>
        <w:ind w:firstLine="2520" w:firstLineChars="900"/>
        <w:jc w:val="both"/>
        <w:rPr>
          <w:rFonts w:ascii="宋体" w:hAnsi="宋体" w:eastAsia="宋体" w:cs="宋体"/>
          <w:sz w:val="28"/>
          <w:szCs w:val="28"/>
        </w:rPr>
      </w:pPr>
      <w:r>
        <w:rPr>
          <w:rFonts w:hint="eastAsia" w:ascii="宋体" w:hAnsi="宋体" w:eastAsia="宋体" w:cs="宋体"/>
          <w:sz w:val="28"/>
          <w:szCs w:val="28"/>
        </w:rPr>
        <w:t>供应商名称：                    （公章）</w:t>
      </w:r>
    </w:p>
    <w:p>
      <w:pPr>
        <w:widowControl w:val="0"/>
        <w:adjustRightInd/>
        <w:snapToGrid/>
        <w:spacing w:after="0" w:line="360" w:lineRule="auto"/>
        <w:ind w:firstLine="2520" w:firstLineChars="900"/>
        <w:jc w:val="both"/>
        <w:rPr>
          <w:rFonts w:ascii="宋体" w:hAnsi="宋体" w:eastAsia="宋体" w:cs="宋体"/>
          <w:sz w:val="28"/>
          <w:szCs w:val="28"/>
        </w:rPr>
      </w:pPr>
      <w:r>
        <w:rPr>
          <w:rFonts w:hint="eastAsia" w:ascii="宋体" w:hAnsi="宋体" w:eastAsia="宋体" w:cs="宋体"/>
          <w:sz w:val="28"/>
          <w:szCs w:val="28"/>
        </w:rPr>
        <w:t xml:space="preserve">法定代表人（授权代表）：              </w:t>
      </w:r>
    </w:p>
    <w:p>
      <w:pPr>
        <w:widowControl w:val="0"/>
        <w:adjustRightInd/>
        <w:snapToGrid/>
        <w:spacing w:after="0" w:line="360" w:lineRule="auto"/>
        <w:ind w:firstLine="2520" w:firstLineChars="900"/>
        <w:jc w:val="both"/>
        <w:rPr>
          <w:rFonts w:ascii="宋体" w:hAnsi="宋体" w:eastAsia="宋体" w:cs="宋体"/>
          <w:sz w:val="28"/>
          <w:szCs w:val="28"/>
        </w:rPr>
      </w:pPr>
      <w:r>
        <w:rPr>
          <w:rFonts w:hint="eastAsia" w:ascii="宋体" w:hAnsi="宋体" w:eastAsia="宋体" w:cs="宋体"/>
          <w:sz w:val="28"/>
          <w:szCs w:val="28"/>
        </w:rPr>
        <w:t xml:space="preserve">联系电话（手机）：                    </w:t>
      </w:r>
    </w:p>
    <w:p>
      <w:pPr>
        <w:widowControl w:val="0"/>
        <w:adjustRightInd/>
        <w:snapToGrid/>
        <w:spacing w:after="0" w:line="360" w:lineRule="auto"/>
        <w:ind w:firstLine="2520" w:firstLineChars="900"/>
        <w:jc w:val="both"/>
        <w:rPr>
          <w:rFonts w:ascii="宋体" w:hAnsi="宋体" w:eastAsia="宋体" w:cs="宋体"/>
          <w:sz w:val="28"/>
          <w:szCs w:val="28"/>
        </w:rPr>
      </w:pPr>
      <w:r>
        <w:rPr>
          <w:rFonts w:hint="eastAsia" w:ascii="宋体" w:hAnsi="宋体" w:eastAsia="宋体" w:cs="宋体"/>
          <w:sz w:val="28"/>
          <w:szCs w:val="28"/>
        </w:rPr>
        <w:t>日期：              年      月      日</w:t>
      </w:r>
    </w:p>
    <w:p>
      <w:pPr>
        <w:widowControl w:val="0"/>
        <w:adjustRightInd/>
        <w:snapToGrid/>
        <w:spacing w:after="0" w:line="360" w:lineRule="auto"/>
        <w:jc w:val="both"/>
        <w:rPr>
          <w:rFonts w:ascii="宋体" w:hAnsi="宋体" w:eastAsia="宋体" w:cs="宋体"/>
          <w:sz w:val="28"/>
          <w:szCs w:val="28"/>
        </w:rPr>
      </w:pPr>
    </w:p>
    <w:p>
      <w:pPr>
        <w:widowControl w:val="0"/>
        <w:adjustRightInd/>
        <w:snapToGrid/>
        <w:spacing w:after="0" w:line="360" w:lineRule="auto"/>
        <w:jc w:val="both"/>
        <w:rPr>
          <w:rFonts w:ascii="宋体" w:hAnsi="宋体" w:eastAsia="宋体" w:cs="宋体"/>
          <w:b/>
          <w:bCs/>
          <w:sz w:val="28"/>
          <w:szCs w:val="28"/>
        </w:rPr>
      </w:pPr>
      <w:r>
        <w:rPr>
          <w:rFonts w:hint="eastAsia" w:ascii="宋体" w:hAnsi="宋体" w:eastAsia="宋体" w:cs="宋体"/>
          <w:b/>
          <w:bCs/>
          <w:sz w:val="28"/>
          <w:szCs w:val="28"/>
        </w:rPr>
        <w:t>注：本报名投标确认函不需装入投标文件中。</w:t>
      </w:r>
    </w:p>
    <w:p>
      <w:pPr>
        <w:widowControl w:val="0"/>
        <w:adjustRightInd/>
        <w:snapToGrid/>
        <w:spacing w:after="0" w:line="360" w:lineRule="auto"/>
        <w:jc w:val="both"/>
        <w:rPr>
          <w:rFonts w:ascii="宋体" w:hAnsi="宋体" w:eastAsia="宋体" w:cs="宋体"/>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26</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CBA77A"/>
    <w:multiLevelType w:val="singleLevel"/>
    <w:tmpl w:val="BACBA77A"/>
    <w:lvl w:ilvl="0" w:tentative="0">
      <w:start w:val="1"/>
      <w:numFmt w:val="decimal"/>
      <w:suff w:val="nothing"/>
      <w:lvlText w:val="（%1）"/>
      <w:lvlJc w:val="left"/>
    </w:lvl>
  </w:abstractNum>
  <w:abstractNum w:abstractNumId="1">
    <w:nsid w:val="E6281BE7"/>
    <w:multiLevelType w:val="singleLevel"/>
    <w:tmpl w:val="E6281BE7"/>
    <w:lvl w:ilvl="0" w:tentative="0">
      <w:start w:val="6"/>
      <w:numFmt w:val="chineseCounting"/>
      <w:suff w:val="nothing"/>
      <w:lvlText w:val="%1、"/>
      <w:lvlJc w:val="left"/>
      <w:rPr>
        <w:rFonts w:hint="eastAsia"/>
      </w:rPr>
    </w:lvl>
  </w:abstractNum>
  <w:abstractNum w:abstractNumId="2">
    <w:nsid w:val="FE6C3771"/>
    <w:multiLevelType w:val="singleLevel"/>
    <w:tmpl w:val="FE6C3771"/>
    <w:lvl w:ilvl="0" w:tentative="0">
      <w:start w:val="9"/>
      <w:numFmt w:val="decimal"/>
      <w:suff w:val="nothing"/>
      <w:lvlText w:val="（%1）"/>
      <w:lvlJc w:val="left"/>
    </w:lvl>
  </w:abstractNum>
  <w:abstractNum w:abstractNumId="3">
    <w:nsid w:val="26AF47F2"/>
    <w:multiLevelType w:val="multilevel"/>
    <w:tmpl w:val="26AF47F2"/>
    <w:lvl w:ilvl="0" w:tentative="0">
      <w:start w:val="1"/>
      <w:numFmt w:val="japaneseCounting"/>
      <w:lvlText w:val="%1、"/>
      <w:lvlJc w:val="left"/>
      <w:pPr>
        <w:ind w:left="1041" w:hanging="480"/>
      </w:pPr>
      <w:rPr>
        <w:rFonts w:ascii="宋体" w:hAnsi="宋体" w:eastAsia="宋体" w:cs="Times New Roman"/>
      </w:r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4">
    <w:nsid w:val="3E607E9B"/>
    <w:multiLevelType w:val="singleLevel"/>
    <w:tmpl w:val="3E607E9B"/>
    <w:lvl w:ilvl="0" w:tentative="0">
      <w:start w:val="6"/>
      <w:numFmt w:val="chineseCounting"/>
      <w:suff w:val="nothing"/>
      <w:lvlText w:val="%1、"/>
      <w:lvlJc w:val="left"/>
      <w:rPr>
        <w:rFonts w:hint="eastAsia"/>
      </w:rPr>
    </w:lvl>
  </w:abstractNum>
  <w:abstractNum w:abstractNumId="5">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907310"/>
    <w:multiLevelType w:val="multilevel"/>
    <w:tmpl w:val="7C907310"/>
    <w:lvl w:ilvl="0" w:tentative="0">
      <w:start w:val="1"/>
      <w:numFmt w:val="decimal"/>
      <w:lvlText w:val="（%1）"/>
      <w:lvlJc w:val="left"/>
      <w:pPr>
        <w:ind w:left="1034" w:hanging="750"/>
      </w:pPr>
      <w:rPr>
        <w:rFonts w:hint="default"/>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num w:numId="1">
    <w:abstractNumId w:val="5"/>
  </w:num>
  <w:num w:numId="2">
    <w:abstractNumId w:val="6"/>
  </w:num>
  <w:num w:numId="3">
    <w:abstractNumId w:val="4"/>
  </w:num>
  <w:num w:numId="4">
    <w:abstractNumId w:val="1"/>
  </w:num>
  <w:num w:numId="5">
    <w:abstractNumId w:val="2"/>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4A59"/>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3EC"/>
    <w:rsid w:val="0018443B"/>
    <w:rsid w:val="00193521"/>
    <w:rsid w:val="001A049C"/>
    <w:rsid w:val="001B679C"/>
    <w:rsid w:val="001B6A78"/>
    <w:rsid w:val="001C20DD"/>
    <w:rsid w:val="001C2E89"/>
    <w:rsid w:val="001C4B26"/>
    <w:rsid w:val="001C64AC"/>
    <w:rsid w:val="001D0768"/>
    <w:rsid w:val="001D281C"/>
    <w:rsid w:val="001D477F"/>
    <w:rsid w:val="001D5A6A"/>
    <w:rsid w:val="001D667C"/>
    <w:rsid w:val="001E030A"/>
    <w:rsid w:val="001E1FD2"/>
    <w:rsid w:val="001E4020"/>
    <w:rsid w:val="001E5F10"/>
    <w:rsid w:val="001E694C"/>
    <w:rsid w:val="001E73B5"/>
    <w:rsid w:val="001F4F63"/>
    <w:rsid w:val="0020432E"/>
    <w:rsid w:val="00206503"/>
    <w:rsid w:val="002070F5"/>
    <w:rsid w:val="002318EF"/>
    <w:rsid w:val="00232127"/>
    <w:rsid w:val="002327D4"/>
    <w:rsid w:val="00244DA0"/>
    <w:rsid w:val="002453B7"/>
    <w:rsid w:val="00251230"/>
    <w:rsid w:val="0025535E"/>
    <w:rsid w:val="00266C11"/>
    <w:rsid w:val="00272CB4"/>
    <w:rsid w:val="00295368"/>
    <w:rsid w:val="0029740A"/>
    <w:rsid w:val="002A4DD3"/>
    <w:rsid w:val="002C4117"/>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54A5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400F"/>
    <w:rsid w:val="00557F99"/>
    <w:rsid w:val="0057236C"/>
    <w:rsid w:val="0057580C"/>
    <w:rsid w:val="00575FC2"/>
    <w:rsid w:val="00576081"/>
    <w:rsid w:val="0058115B"/>
    <w:rsid w:val="00582807"/>
    <w:rsid w:val="00582977"/>
    <w:rsid w:val="005866DD"/>
    <w:rsid w:val="00590D7C"/>
    <w:rsid w:val="0059317B"/>
    <w:rsid w:val="00596F67"/>
    <w:rsid w:val="005B00B9"/>
    <w:rsid w:val="005B44B4"/>
    <w:rsid w:val="005C005E"/>
    <w:rsid w:val="005C66D3"/>
    <w:rsid w:val="005D2E1F"/>
    <w:rsid w:val="005E6561"/>
    <w:rsid w:val="005F103C"/>
    <w:rsid w:val="00601FB9"/>
    <w:rsid w:val="0060453F"/>
    <w:rsid w:val="006045FD"/>
    <w:rsid w:val="006073C6"/>
    <w:rsid w:val="006160DD"/>
    <w:rsid w:val="006218B4"/>
    <w:rsid w:val="006411FE"/>
    <w:rsid w:val="006416DE"/>
    <w:rsid w:val="006600C0"/>
    <w:rsid w:val="00663D89"/>
    <w:rsid w:val="00664384"/>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23FA"/>
    <w:rsid w:val="007730F5"/>
    <w:rsid w:val="00791FC9"/>
    <w:rsid w:val="00792482"/>
    <w:rsid w:val="0079316D"/>
    <w:rsid w:val="007947E9"/>
    <w:rsid w:val="007A58F8"/>
    <w:rsid w:val="007B3D32"/>
    <w:rsid w:val="007E0F09"/>
    <w:rsid w:val="007E10EF"/>
    <w:rsid w:val="007E2F52"/>
    <w:rsid w:val="007E466E"/>
    <w:rsid w:val="007E5C50"/>
    <w:rsid w:val="007E7839"/>
    <w:rsid w:val="007F1718"/>
    <w:rsid w:val="007F18E6"/>
    <w:rsid w:val="007F226B"/>
    <w:rsid w:val="007F41F0"/>
    <w:rsid w:val="00801146"/>
    <w:rsid w:val="0080793C"/>
    <w:rsid w:val="00816473"/>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A1E68"/>
    <w:rsid w:val="008B0B7A"/>
    <w:rsid w:val="008B154E"/>
    <w:rsid w:val="008B7726"/>
    <w:rsid w:val="008D1573"/>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2C8F"/>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960CD"/>
    <w:rsid w:val="00AA10B3"/>
    <w:rsid w:val="00AA278C"/>
    <w:rsid w:val="00AB02BC"/>
    <w:rsid w:val="00AB3CFF"/>
    <w:rsid w:val="00AC2325"/>
    <w:rsid w:val="00AC3CE4"/>
    <w:rsid w:val="00AD713B"/>
    <w:rsid w:val="00AD7596"/>
    <w:rsid w:val="00AE4828"/>
    <w:rsid w:val="00AE5082"/>
    <w:rsid w:val="00AE6332"/>
    <w:rsid w:val="00AF0E8F"/>
    <w:rsid w:val="00AF3ACC"/>
    <w:rsid w:val="00AF539E"/>
    <w:rsid w:val="00B06748"/>
    <w:rsid w:val="00B10D4E"/>
    <w:rsid w:val="00B14016"/>
    <w:rsid w:val="00B14B96"/>
    <w:rsid w:val="00B300AE"/>
    <w:rsid w:val="00B312ED"/>
    <w:rsid w:val="00B32830"/>
    <w:rsid w:val="00B33A83"/>
    <w:rsid w:val="00B42425"/>
    <w:rsid w:val="00B445BC"/>
    <w:rsid w:val="00B47081"/>
    <w:rsid w:val="00B4709A"/>
    <w:rsid w:val="00B47424"/>
    <w:rsid w:val="00B517FD"/>
    <w:rsid w:val="00B531AF"/>
    <w:rsid w:val="00B53441"/>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017"/>
    <w:rsid w:val="00C12969"/>
    <w:rsid w:val="00C13584"/>
    <w:rsid w:val="00C1690A"/>
    <w:rsid w:val="00C30C20"/>
    <w:rsid w:val="00C370CA"/>
    <w:rsid w:val="00C40E65"/>
    <w:rsid w:val="00C43A01"/>
    <w:rsid w:val="00C51755"/>
    <w:rsid w:val="00C541CB"/>
    <w:rsid w:val="00C55166"/>
    <w:rsid w:val="00C714F0"/>
    <w:rsid w:val="00C76558"/>
    <w:rsid w:val="00C86FD4"/>
    <w:rsid w:val="00C96654"/>
    <w:rsid w:val="00CB2130"/>
    <w:rsid w:val="00CB3C11"/>
    <w:rsid w:val="00CB3D50"/>
    <w:rsid w:val="00CB511C"/>
    <w:rsid w:val="00CD4D83"/>
    <w:rsid w:val="00CD667E"/>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31C1"/>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44174"/>
    <w:rsid w:val="00E52BFB"/>
    <w:rsid w:val="00E537C7"/>
    <w:rsid w:val="00E53CF5"/>
    <w:rsid w:val="00E56996"/>
    <w:rsid w:val="00E57C17"/>
    <w:rsid w:val="00E664E1"/>
    <w:rsid w:val="00E71147"/>
    <w:rsid w:val="00E75074"/>
    <w:rsid w:val="00E81B75"/>
    <w:rsid w:val="00E8447A"/>
    <w:rsid w:val="00E85DDD"/>
    <w:rsid w:val="00E95E13"/>
    <w:rsid w:val="00EA5C99"/>
    <w:rsid w:val="00EA62FB"/>
    <w:rsid w:val="00EA6CDE"/>
    <w:rsid w:val="00EB0C34"/>
    <w:rsid w:val="00EB187E"/>
    <w:rsid w:val="00EC355B"/>
    <w:rsid w:val="00EC3C23"/>
    <w:rsid w:val="00ED0853"/>
    <w:rsid w:val="00ED0F18"/>
    <w:rsid w:val="00ED7923"/>
    <w:rsid w:val="00EE2837"/>
    <w:rsid w:val="00EE4B82"/>
    <w:rsid w:val="00EE7046"/>
    <w:rsid w:val="00EF69B3"/>
    <w:rsid w:val="00F04061"/>
    <w:rsid w:val="00F14151"/>
    <w:rsid w:val="00F152B0"/>
    <w:rsid w:val="00F212D3"/>
    <w:rsid w:val="00F27EE2"/>
    <w:rsid w:val="00F30A36"/>
    <w:rsid w:val="00F34B4A"/>
    <w:rsid w:val="00F34DF9"/>
    <w:rsid w:val="00F40BA9"/>
    <w:rsid w:val="00F4455E"/>
    <w:rsid w:val="00F5231B"/>
    <w:rsid w:val="00F60B40"/>
    <w:rsid w:val="00F64CC8"/>
    <w:rsid w:val="00F75135"/>
    <w:rsid w:val="00F8761F"/>
    <w:rsid w:val="00F94053"/>
    <w:rsid w:val="00F94356"/>
    <w:rsid w:val="00F952C7"/>
    <w:rsid w:val="00F96BF5"/>
    <w:rsid w:val="00FA1FA5"/>
    <w:rsid w:val="00FA4F5F"/>
    <w:rsid w:val="00FA5767"/>
    <w:rsid w:val="00FA7B45"/>
    <w:rsid w:val="00FB0011"/>
    <w:rsid w:val="00FB20F5"/>
    <w:rsid w:val="00FB608D"/>
    <w:rsid w:val="00FC0456"/>
    <w:rsid w:val="00FC3104"/>
    <w:rsid w:val="00FE47E0"/>
    <w:rsid w:val="00FF44F0"/>
    <w:rsid w:val="00FF7A26"/>
    <w:rsid w:val="01267404"/>
    <w:rsid w:val="01653378"/>
    <w:rsid w:val="03566544"/>
    <w:rsid w:val="04077ACA"/>
    <w:rsid w:val="042A4E2F"/>
    <w:rsid w:val="04794DDC"/>
    <w:rsid w:val="04F3430C"/>
    <w:rsid w:val="05B82621"/>
    <w:rsid w:val="060870B2"/>
    <w:rsid w:val="06396E72"/>
    <w:rsid w:val="06CC224F"/>
    <w:rsid w:val="06F678F4"/>
    <w:rsid w:val="075C4134"/>
    <w:rsid w:val="07C94168"/>
    <w:rsid w:val="08476EA2"/>
    <w:rsid w:val="088F03D9"/>
    <w:rsid w:val="08D70D4F"/>
    <w:rsid w:val="097D1F54"/>
    <w:rsid w:val="099F6C0A"/>
    <w:rsid w:val="09C76800"/>
    <w:rsid w:val="09F66C9B"/>
    <w:rsid w:val="0A650B5A"/>
    <w:rsid w:val="0AFA3FCC"/>
    <w:rsid w:val="0B073FEF"/>
    <w:rsid w:val="0B445407"/>
    <w:rsid w:val="0BF33D3F"/>
    <w:rsid w:val="0CB85C06"/>
    <w:rsid w:val="0CC16916"/>
    <w:rsid w:val="0D7C3718"/>
    <w:rsid w:val="0D7C5F6A"/>
    <w:rsid w:val="0F611310"/>
    <w:rsid w:val="115B563A"/>
    <w:rsid w:val="11693AF3"/>
    <w:rsid w:val="121378A4"/>
    <w:rsid w:val="12797588"/>
    <w:rsid w:val="134F7A7E"/>
    <w:rsid w:val="14186C1E"/>
    <w:rsid w:val="14444DE2"/>
    <w:rsid w:val="14577EAA"/>
    <w:rsid w:val="147E7FFB"/>
    <w:rsid w:val="15101061"/>
    <w:rsid w:val="15EF3651"/>
    <w:rsid w:val="16F97D70"/>
    <w:rsid w:val="16FB2161"/>
    <w:rsid w:val="18731FC8"/>
    <w:rsid w:val="189F4F28"/>
    <w:rsid w:val="19B31FEC"/>
    <w:rsid w:val="1A176876"/>
    <w:rsid w:val="1B646528"/>
    <w:rsid w:val="1DAE562C"/>
    <w:rsid w:val="1E7B05F0"/>
    <w:rsid w:val="1F792AFA"/>
    <w:rsid w:val="20493577"/>
    <w:rsid w:val="216113F4"/>
    <w:rsid w:val="21DE6E3B"/>
    <w:rsid w:val="22327B2D"/>
    <w:rsid w:val="224B6541"/>
    <w:rsid w:val="23453348"/>
    <w:rsid w:val="23711F72"/>
    <w:rsid w:val="23B85C9B"/>
    <w:rsid w:val="241D66F0"/>
    <w:rsid w:val="245B4254"/>
    <w:rsid w:val="24A9596A"/>
    <w:rsid w:val="256B1DC6"/>
    <w:rsid w:val="25A66B94"/>
    <w:rsid w:val="25F955C5"/>
    <w:rsid w:val="26C47176"/>
    <w:rsid w:val="27342A22"/>
    <w:rsid w:val="27F0204C"/>
    <w:rsid w:val="28056AAA"/>
    <w:rsid w:val="28946FDF"/>
    <w:rsid w:val="294A4B87"/>
    <w:rsid w:val="297C54C6"/>
    <w:rsid w:val="2A41548E"/>
    <w:rsid w:val="2AC529E9"/>
    <w:rsid w:val="2B462DDC"/>
    <w:rsid w:val="2C4B7C3F"/>
    <w:rsid w:val="2CA46979"/>
    <w:rsid w:val="2D360F7F"/>
    <w:rsid w:val="2DC421F5"/>
    <w:rsid w:val="2ED921AA"/>
    <w:rsid w:val="2FC97C01"/>
    <w:rsid w:val="2FD04905"/>
    <w:rsid w:val="31C1290B"/>
    <w:rsid w:val="327444F1"/>
    <w:rsid w:val="328874D7"/>
    <w:rsid w:val="34112F1E"/>
    <w:rsid w:val="34A43F4C"/>
    <w:rsid w:val="36D44C7A"/>
    <w:rsid w:val="376F7278"/>
    <w:rsid w:val="37CF7977"/>
    <w:rsid w:val="38C877C7"/>
    <w:rsid w:val="399C42FA"/>
    <w:rsid w:val="3A730074"/>
    <w:rsid w:val="3ADB587F"/>
    <w:rsid w:val="3B11684B"/>
    <w:rsid w:val="3C596206"/>
    <w:rsid w:val="3D860563"/>
    <w:rsid w:val="3DA3144A"/>
    <w:rsid w:val="3DB54986"/>
    <w:rsid w:val="3DCC43AD"/>
    <w:rsid w:val="3E871871"/>
    <w:rsid w:val="3EF56705"/>
    <w:rsid w:val="3F292EBD"/>
    <w:rsid w:val="401722CE"/>
    <w:rsid w:val="40595532"/>
    <w:rsid w:val="40D220CE"/>
    <w:rsid w:val="40F15BB5"/>
    <w:rsid w:val="418854BC"/>
    <w:rsid w:val="43857DEE"/>
    <w:rsid w:val="438B5701"/>
    <w:rsid w:val="43990BAC"/>
    <w:rsid w:val="43BA71D4"/>
    <w:rsid w:val="43FE3F22"/>
    <w:rsid w:val="44B9430B"/>
    <w:rsid w:val="44C47273"/>
    <w:rsid w:val="44E75DF0"/>
    <w:rsid w:val="45B76F9A"/>
    <w:rsid w:val="45D25A22"/>
    <w:rsid w:val="475C0817"/>
    <w:rsid w:val="476476D7"/>
    <w:rsid w:val="48955C37"/>
    <w:rsid w:val="48E524C3"/>
    <w:rsid w:val="491E25FF"/>
    <w:rsid w:val="493A27DE"/>
    <w:rsid w:val="49761E22"/>
    <w:rsid w:val="4A230CCB"/>
    <w:rsid w:val="4A252A80"/>
    <w:rsid w:val="4AED5BDA"/>
    <w:rsid w:val="4B0E1D5E"/>
    <w:rsid w:val="4B475A81"/>
    <w:rsid w:val="4B4D1134"/>
    <w:rsid w:val="4BB5777E"/>
    <w:rsid w:val="4C024A65"/>
    <w:rsid w:val="4C667774"/>
    <w:rsid w:val="4C752198"/>
    <w:rsid w:val="4CAC39A5"/>
    <w:rsid w:val="4DE91A88"/>
    <w:rsid w:val="4EBA7179"/>
    <w:rsid w:val="4EDF6A7E"/>
    <w:rsid w:val="4EF60D0A"/>
    <w:rsid w:val="4EFF4D72"/>
    <w:rsid w:val="4F5B034D"/>
    <w:rsid w:val="51726D68"/>
    <w:rsid w:val="524D4818"/>
    <w:rsid w:val="5250653E"/>
    <w:rsid w:val="52DC2A20"/>
    <w:rsid w:val="534643B7"/>
    <w:rsid w:val="53653CE0"/>
    <w:rsid w:val="54D53C47"/>
    <w:rsid w:val="55772440"/>
    <w:rsid w:val="57742A3F"/>
    <w:rsid w:val="577B2E57"/>
    <w:rsid w:val="57A02643"/>
    <w:rsid w:val="5803173C"/>
    <w:rsid w:val="5824418B"/>
    <w:rsid w:val="597110B8"/>
    <w:rsid w:val="5A6E238E"/>
    <w:rsid w:val="5A6E4628"/>
    <w:rsid w:val="5B9E64F2"/>
    <w:rsid w:val="5C49212E"/>
    <w:rsid w:val="5D070980"/>
    <w:rsid w:val="5D140335"/>
    <w:rsid w:val="5DAD2013"/>
    <w:rsid w:val="5DBF1264"/>
    <w:rsid w:val="5DE25C14"/>
    <w:rsid w:val="5E26223C"/>
    <w:rsid w:val="5F8179C8"/>
    <w:rsid w:val="5FFE6238"/>
    <w:rsid w:val="606056ED"/>
    <w:rsid w:val="60685C05"/>
    <w:rsid w:val="60CF4F57"/>
    <w:rsid w:val="60DE77D6"/>
    <w:rsid w:val="60E131D8"/>
    <w:rsid w:val="60E5712E"/>
    <w:rsid w:val="60E601A5"/>
    <w:rsid w:val="60E634EF"/>
    <w:rsid w:val="61006171"/>
    <w:rsid w:val="61074B48"/>
    <w:rsid w:val="62CD3F75"/>
    <w:rsid w:val="637C4756"/>
    <w:rsid w:val="65444041"/>
    <w:rsid w:val="65F26608"/>
    <w:rsid w:val="66104FB2"/>
    <w:rsid w:val="662F0440"/>
    <w:rsid w:val="66512A33"/>
    <w:rsid w:val="66E46013"/>
    <w:rsid w:val="673247AA"/>
    <w:rsid w:val="67B062B6"/>
    <w:rsid w:val="68E86726"/>
    <w:rsid w:val="68FC12D2"/>
    <w:rsid w:val="690F2C5D"/>
    <w:rsid w:val="692B1946"/>
    <w:rsid w:val="695F0B40"/>
    <w:rsid w:val="6A6200D8"/>
    <w:rsid w:val="6C5F2C50"/>
    <w:rsid w:val="6CA611F5"/>
    <w:rsid w:val="6F6D1C28"/>
    <w:rsid w:val="6F86367C"/>
    <w:rsid w:val="70F80252"/>
    <w:rsid w:val="72520BA1"/>
    <w:rsid w:val="72A95901"/>
    <w:rsid w:val="72AF64A4"/>
    <w:rsid w:val="72FE51F9"/>
    <w:rsid w:val="73DB244C"/>
    <w:rsid w:val="73F0205C"/>
    <w:rsid w:val="747A53EC"/>
    <w:rsid w:val="74E53E85"/>
    <w:rsid w:val="74E96DA4"/>
    <w:rsid w:val="75623734"/>
    <w:rsid w:val="7612260D"/>
    <w:rsid w:val="762E054A"/>
    <w:rsid w:val="766362A4"/>
    <w:rsid w:val="77B16134"/>
    <w:rsid w:val="77B67A9B"/>
    <w:rsid w:val="783C4461"/>
    <w:rsid w:val="78CA1FA6"/>
    <w:rsid w:val="7A096BCC"/>
    <w:rsid w:val="7AAC3346"/>
    <w:rsid w:val="7AFE7E9A"/>
    <w:rsid w:val="7B4423DF"/>
    <w:rsid w:val="7B711180"/>
    <w:rsid w:val="7BBB2725"/>
    <w:rsid w:val="7BEF5DEA"/>
    <w:rsid w:val="7C1C4BDF"/>
    <w:rsid w:val="7C2E1486"/>
    <w:rsid w:val="7C773901"/>
    <w:rsid w:val="7C9A4A39"/>
    <w:rsid w:val="7D1B0203"/>
    <w:rsid w:val="7D4D292E"/>
    <w:rsid w:val="7DBC680C"/>
    <w:rsid w:val="7DD259A2"/>
    <w:rsid w:val="7DFC1B6C"/>
    <w:rsid w:val="7EC00D10"/>
    <w:rsid w:val="7EF84233"/>
    <w:rsid w:val="7F5B2C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5"/>
    <w:semiHidden/>
    <w:unhideWhenUsed/>
    <w:qFormat/>
    <w:uiPriority w:val="99"/>
    <w:pPr>
      <w:spacing w:after="0"/>
    </w:pPr>
    <w:rPr>
      <w:sz w:val="18"/>
      <w:szCs w:val="18"/>
    </w:rPr>
  </w:style>
  <w:style w:type="paragraph" w:styleId="11">
    <w:name w:val="footer"/>
    <w:basedOn w:val="1"/>
    <w:link w:val="24"/>
    <w:unhideWhenUsed/>
    <w:qFormat/>
    <w:uiPriority w:val="99"/>
    <w:pPr>
      <w:tabs>
        <w:tab w:val="center" w:pos="4153"/>
        <w:tab w:val="right" w:pos="8306"/>
      </w:tabs>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7"/>
    <w:semiHidden/>
    <w:unhideWhenUsed/>
    <w:qFormat/>
    <w:uiPriority w:val="99"/>
    <w:rPr>
      <w:b/>
      <w:bCs/>
    </w:r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basedOn w:val="18"/>
    <w:semiHidden/>
    <w:unhideWhenUsed/>
    <w:qFormat/>
    <w:uiPriority w:val="99"/>
    <w:rPr>
      <w:sz w:val="21"/>
      <w:szCs w:val="21"/>
    </w:rPr>
  </w:style>
  <w:style w:type="character" w:customStyle="1" w:styleId="23">
    <w:name w:val="页眉 Char"/>
    <w:basedOn w:val="18"/>
    <w:link w:val="12"/>
    <w:qFormat/>
    <w:uiPriority w:val="99"/>
    <w:rPr>
      <w:rFonts w:ascii="Tahoma" w:hAnsi="Tahoma"/>
      <w:sz w:val="18"/>
      <w:szCs w:val="18"/>
    </w:rPr>
  </w:style>
  <w:style w:type="character" w:customStyle="1" w:styleId="24">
    <w:name w:val="页脚 Char"/>
    <w:basedOn w:val="18"/>
    <w:link w:val="11"/>
    <w:qFormat/>
    <w:uiPriority w:val="99"/>
    <w:rPr>
      <w:rFonts w:ascii="Tahoma" w:hAnsi="Tahoma"/>
      <w:sz w:val="18"/>
      <w:szCs w:val="18"/>
    </w:rPr>
  </w:style>
  <w:style w:type="character" w:customStyle="1" w:styleId="25">
    <w:name w:val="标题 1 Char"/>
    <w:basedOn w:val="18"/>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8"/>
    <w:link w:val="4"/>
    <w:qFormat/>
    <w:uiPriority w:val="0"/>
    <w:rPr>
      <w:rFonts w:ascii="Times New Roman" w:hAnsi="Times New Roman" w:eastAsia="宋体" w:cs="Times New Roman"/>
      <w:b/>
      <w:bCs/>
      <w:kern w:val="2"/>
      <w:sz w:val="32"/>
      <w:szCs w:val="32"/>
    </w:rPr>
  </w:style>
  <w:style w:type="character" w:customStyle="1" w:styleId="29">
    <w:name w:val="标题 4 Char"/>
    <w:basedOn w:val="18"/>
    <w:link w:val="6"/>
    <w:qFormat/>
    <w:uiPriority w:val="9"/>
    <w:rPr>
      <w:rFonts w:ascii="Arial" w:hAnsi="Arial" w:eastAsia="黑体" w:cs="Arial"/>
      <w:b/>
      <w:bCs/>
      <w:kern w:val="2"/>
      <w:sz w:val="28"/>
      <w:szCs w:val="28"/>
    </w:rPr>
  </w:style>
  <w:style w:type="character" w:customStyle="1" w:styleId="30">
    <w:name w:val="标题 Char1"/>
    <w:basedOn w:val="18"/>
    <w:link w:val="15"/>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8"/>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9"/>
    <w:qFormat/>
    <w:uiPriority w:val="0"/>
    <w:rPr>
      <w:rFonts w:ascii="宋体" w:hAnsi="Courier New" w:cs="Courier New"/>
      <w:kern w:val="2"/>
      <w:sz w:val="21"/>
      <w:szCs w:val="21"/>
    </w:rPr>
  </w:style>
  <w:style w:type="character" w:customStyle="1" w:styleId="38">
    <w:name w:val="纯文本 Char1"/>
    <w:basedOn w:val="18"/>
    <w:semiHidden/>
    <w:qFormat/>
    <w:uiPriority w:val="99"/>
    <w:rPr>
      <w:rFonts w:ascii="宋体" w:hAnsi="Courier New" w:eastAsia="宋体" w:cs="Courier New"/>
      <w:sz w:val="21"/>
      <w:szCs w:val="21"/>
    </w:rPr>
  </w:style>
  <w:style w:type="character" w:customStyle="1" w:styleId="39">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8"/>
    <w:semiHidden/>
    <w:qFormat/>
    <w:uiPriority w:val="99"/>
    <w:rPr>
      <w:rFonts w:ascii="Tahoma" w:hAnsi="Tahoma"/>
    </w:rPr>
  </w:style>
  <w:style w:type="character" w:customStyle="1" w:styleId="45">
    <w:name w:val="批注框文本 Char"/>
    <w:basedOn w:val="18"/>
    <w:link w:val="10"/>
    <w:semiHidden/>
    <w:qFormat/>
    <w:uiPriority w:val="99"/>
    <w:rPr>
      <w:rFonts w:ascii="Tahoma" w:hAnsi="Tahoma"/>
      <w:sz w:val="18"/>
      <w:szCs w:val="18"/>
    </w:rPr>
  </w:style>
  <w:style w:type="character" w:customStyle="1" w:styleId="46">
    <w:name w:val="批注文字 Char"/>
    <w:basedOn w:val="18"/>
    <w:link w:val="7"/>
    <w:semiHidden/>
    <w:qFormat/>
    <w:uiPriority w:val="99"/>
    <w:rPr>
      <w:rFonts w:ascii="Tahoma" w:hAnsi="Tahoma"/>
    </w:rPr>
  </w:style>
  <w:style w:type="character" w:customStyle="1" w:styleId="47">
    <w:name w:val="批注主题 Char"/>
    <w:basedOn w:val="46"/>
    <w:link w:val="16"/>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9">
    <w:name w:val="pa-0"/>
    <w:basedOn w:val="1"/>
    <w:qFormat/>
    <w:uiPriority w:val="0"/>
    <w:pPr>
      <w:spacing w:before="150" w:after="150"/>
    </w:pPr>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C3104-727A-44D6-818E-C687FC00BFA3}">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41</Pages>
  <Words>2657</Words>
  <Characters>15149</Characters>
  <Lines>126</Lines>
  <Paragraphs>35</Paragraphs>
  <TotalTime>236</TotalTime>
  <ScaleCrop>false</ScaleCrop>
  <LinksUpToDate>false</LinksUpToDate>
  <CharactersWithSpaces>17771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2019-04-23T09:19:00Z</dcterms:created>
  <dc:creator>chenle</dc:creator>
  <cp:lastModifiedBy>lenovo</cp:lastModifiedBy>
  <dcterms:modified xsi:type="dcterms:W3CDTF">2019-04-26T01:11:50Z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