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ind w:firstLine="0"/>
        <w:jc w:val="center"/>
        <w:rPr>
          <w:rFonts w:eastAsia="黑体"/>
          <w:b/>
          <w:bCs/>
          <w:sz w:val="84"/>
        </w:rPr>
      </w:pPr>
    </w:p>
    <w:p>
      <w:pPr>
        <w:pStyle w:val="30"/>
        <w:ind w:firstLine="0"/>
        <w:jc w:val="center"/>
        <w:rPr>
          <w:rFonts w:eastAsia="黑体"/>
          <w:b/>
          <w:bCs/>
          <w:sz w:val="84"/>
        </w:rPr>
      </w:pPr>
    </w:p>
    <w:p>
      <w:pPr>
        <w:pStyle w:val="30"/>
        <w:ind w:firstLine="0"/>
        <w:jc w:val="center"/>
        <w:rPr>
          <w:rFonts w:eastAsia="黑体"/>
          <w:b/>
          <w:bCs/>
          <w:sz w:val="84"/>
        </w:rPr>
      </w:pPr>
      <w:r>
        <w:rPr>
          <w:rFonts w:hint="eastAsia" w:eastAsia="黑体"/>
          <w:b/>
          <w:bCs/>
          <w:sz w:val="84"/>
        </w:rPr>
        <w:t>招　标　文　件</w:t>
      </w:r>
    </w:p>
    <w:p>
      <w:pPr>
        <w:pStyle w:val="30"/>
        <w:ind w:firstLine="2400" w:firstLineChars="750"/>
        <w:rPr>
          <w:b/>
          <w:bCs/>
          <w:sz w:val="32"/>
        </w:rPr>
      </w:pPr>
    </w:p>
    <w:p>
      <w:pPr>
        <w:pStyle w:val="30"/>
        <w:ind w:firstLine="2400" w:firstLineChars="750"/>
        <w:rPr>
          <w:b/>
          <w:bCs/>
          <w:sz w:val="32"/>
        </w:rPr>
      </w:pPr>
    </w:p>
    <w:p>
      <w:pPr>
        <w:pStyle w:val="30"/>
        <w:ind w:firstLine="0"/>
        <w:jc w:val="center"/>
        <w:rPr>
          <w:b/>
          <w:bCs/>
          <w:sz w:val="28"/>
          <w:szCs w:val="28"/>
        </w:rPr>
      </w:pPr>
      <w:r>
        <w:rPr>
          <w:rFonts w:hint="eastAsia"/>
          <w:b/>
          <w:bCs/>
          <w:sz w:val="32"/>
        </w:rPr>
        <w:t>项目名称：</w:t>
      </w:r>
      <w:r>
        <w:rPr>
          <w:rFonts w:hint="eastAsia"/>
          <w:b/>
          <w:bCs/>
          <w:sz w:val="28"/>
          <w:szCs w:val="28"/>
        </w:rPr>
        <w:t>南京医科大学五台校区2号楼PBL教室设备购置项目</w:t>
      </w:r>
    </w:p>
    <w:p>
      <w:pPr>
        <w:pStyle w:val="30"/>
        <w:ind w:firstLine="0"/>
        <w:jc w:val="center"/>
        <w:rPr>
          <w:b/>
          <w:bCs/>
          <w:sz w:val="32"/>
        </w:rPr>
      </w:pPr>
      <w:r>
        <w:rPr>
          <w:rFonts w:hint="eastAsia"/>
          <w:b/>
          <w:bCs/>
          <w:sz w:val="32"/>
        </w:rPr>
        <w:t>项目编号：NJMUZB3012019054</w:t>
      </w: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ind w:firstLine="0"/>
        <w:jc w:val="center"/>
        <w:rPr>
          <w:b/>
          <w:bCs/>
          <w:sz w:val="32"/>
        </w:rPr>
      </w:pPr>
    </w:p>
    <w:p>
      <w:pPr>
        <w:pStyle w:val="30"/>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523127445"/>
      <w:bookmarkStart w:id="4" w:name="_Toc20823272"/>
      <w:bookmarkStart w:id="5" w:name="_Toc16938516"/>
      <w:bookmarkStart w:id="6" w:name="_Toc47975720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4"/>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4"/>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4"/>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4"/>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4"/>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w:t>
      </w:r>
      <w:r>
        <w:rPr>
          <w:rFonts w:hint="eastAsia"/>
          <w:sz w:val="24"/>
        </w:rPr>
        <w:t>1</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4"/>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_Toc16938558"/>
      <w:bookmarkStart w:id="9" w:name="OLE_LINK1"/>
      <w:bookmarkStart w:id="10" w:name="_Toc20823314"/>
      <w:bookmarkStart w:id="11" w:name="_Toc120614211"/>
      <w:bookmarkStart w:id="12" w:name="_Toc479757207"/>
      <w:bookmarkStart w:id="13" w:name="_Toc513029242"/>
      <w:bookmarkStart w:id="14" w:name="OLE_LINK2"/>
      <w:bookmarkStart w:id="15" w:name="_Toc444669970"/>
      <w:bookmarkStart w:id="16" w:name="_Toc12061422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五台校区2号楼PBL教室设备</w:t>
      </w:r>
      <w:r>
        <w:rPr>
          <w:rFonts w:hint="eastAsia" w:asciiTheme="minorEastAsia" w:hAnsiTheme="minorEastAsia" w:eastAsiaTheme="minorEastAsia"/>
          <w:sz w:val="28"/>
          <w:szCs w:val="28"/>
        </w:rPr>
        <w:t>公开招标，相应资金已落实，欢迎符合招标公告资质要求的供应商前来投标。</w:t>
      </w:r>
    </w:p>
    <w:p>
      <w:pPr>
        <w:spacing w:after="0" w:line="50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500" w:lineRule="exact"/>
        <w:ind w:firstLine="560" w:firstLineChars="200"/>
        <w:rPr>
          <w:rFonts w:asciiTheme="minorEastAsia" w:hAnsiTheme="minorEastAsia" w:eastAsiaTheme="minorEastAsia"/>
          <w:sz w:val="21"/>
          <w:szCs w:val="21"/>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1"/>
          <w:szCs w:val="21"/>
        </w:rPr>
        <w:t>南京医科大学五台校区2号楼PBL教室设备购置项目</w:t>
      </w:r>
    </w:p>
    <w:p>
      <w:pPr>
        <w:spacing w:after="0" w:line="500" w:lineRule="exact"/>
        <w:ind w:firstLine="560" w:firstLineChars="200"/>
        <w:rPr>
          <w:rFonts w:asciiTheme="minorEastAsia" w:hAnsiTheme="minorEastAsia" w:eastAsiaTheme="minorEastAsia"/>
          <w:b/>
          <w:bCs/>
          <w:sz w:val="28"/>
          <w:szCs w:val="28"/>
        </w:rPr>
      </w:pPr>
      <w:r>
        <w:rPr>
          <w:rFonts w:hint="eastAsia" w:asciiTheme="minorEastAsia" w:hAnsiTheme="minorEastAsia" w:eastAsiaTheme="minorEastAsia"/>
          <w:sz w:val="28"/>
          <w:szCs w:val="28"/>
        </w:rPr>
        <w:t>（二）采购项目编号：NJMUZB3012019054</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7"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预算：</w:t>
      </w:r>
      <w:r>
        <w:rPr>
          <w:rFonts w:hint="eastAsia" w:asciiTheme="minorEastAsia" w:hAnsiTheme="minorEastAsia" w:eastAsiaTheme="minorEastAsia"/>
          <w:bCs/>
          <w:sz w:val="28"/>
          <w:szCs w:val="28"/>
          <w:highlight w:val="none"/>
        </w:rPr>
        <w:t xml:space="preserve">￥ </w:t>
      </w:r>
      <w:r>
        <w:rPr>
          <w:rFonts w:hint="eastAsia" w:asciiTheme="minorEastAsia" w:hAnsiTheme="minorEastAsia" w:eastAsiaTheme="minorEastAsia"/>
          <w:bCs/>
          <w:sz w:val="28"/>
          <w:szCs w:val="28"/>
          <w:highlight w:val="none"/>
          <w:lang w:val="en-US" w:eastAsia="zh-CN"/>
        </w:rPr>
        <w:t>20</w:t>
      </w:r>
      <w:r>
        <w:rPr>
          <w:rFonts w:hint="eastAsia" w:asciiTheme="minorEastAsia" w:hAnsiTheme="minorEastAsia" w:eastAsiaTheme="minorEastAsia"/>
          <w:sz w:val="28"/>
          <w:szCs w:val="28"/>
          <w:highlight w:val="none"/>
        </w:rPr>
        <w:t>万</w:t>
      </w:r>
    </w:p>
    <w:bookmarkEnd w:id="17"/>
    <w:p>
      <w:pPr>
        <w:spacing w:after="0" w:line="50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0"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7"/>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color w:val="FF0000"/>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2、具有良好的商业信誉和健全的财务会计制度（提供参加本次采购活动前近六个月内（2019年1月至今）任一月份的资产负债表和利润表，或2018年经审计的财务报告（提供相关复印件并加盖公章），或银行出具的资信证明，或财政部门认可的专业担保机构出具的投标担保函（法人或者其他组织成立未满一年的可以不提供）；             </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Lines="50" w:afterLines="50" w:line="50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280" w:firstLineChars="100"/>
        <w:rPr>
          <w:rFonts w:asciiTheme="minorEastAsia" w:hAnsiTheme="minorEastAsia" w:eastAsiaTheme="minorEastAsia"/>
          <w:color w:val="auto"/>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color w:val="auto"/>
          <w:sz w:val="24"/>
          <w:szCs w:val="24"/>
        </w:rPr>
        <w:t>：</w:t>
      </w:r>
      <w:r>
        <w:rPr>
          <w:rFonts w:hint="eastAsia" w:asciiTheme="minorEastAsia" w:hAnsiTheme="minorEastAsia" w:eastAsiaTheme="minorEastAsia"/>
          <w:b/>
          <w:bCs/>
          <w:color w:val="auto"/>
          <w:sz w:val="24"/>
          <w:szCs w:val="24"/>
        </w:rPr>
        <w:t>2019年9月</w:t>
      </w:r>
      <w:r>
        <w:rPr>
          <w:rFonts w:hint="eastAsia" w:asciiTheme="minorEastAsia" w:hAnsiTheme="minorEastAsia" w:eastAsiaTheme="minorEastAsia"/>
          <w:b/>
          <w:bCs/>
          <w:color w:val="auto"/>
          <w:sz w:val="24"/>
          <w:szCs w:val="24"/>
          <w:lang w:val="en-US" w:eastAsia="zh-CN"/>
        </w:rPr>
        <w:t>30</w:t>
      </w:r>
      <w:r>
        <w:rPr>
          <w:rFonts w:hint="eastAsia" w:asciiTheme="minorEastAsia" w:hAnsiTheme="minorEastAsia" w:eastAsiaTheme="minorEastAsia"/>
          <w:b/>
          <w:bCs/>
          <w:color w:val="auto"/>
          <w:sz w:val="24"/>
          <w:szCs w:val="24"/>
        </w:rPr>
        <w:t>日上午08:30（北京时间）</w:t>
      </w:r>
    </w:p>
    <w:p>
      <w:pPr>
        <w:spacing w:line="500" w:lineRule="exact"/>
        <w:ind w:firstLine="1200" w:firstLineChars="5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投标文件接收截止时间：</w:t>
      </w:r>
      <w:r>
        <w:rPr>
          <w:rFonts w:hint="eastAsia" w:asciiTheme="minorEastAsia" w:hAnsiTheme="minorEastAsia" w:eastAsiaTheme="minorEastAsia"/>
          <w:b/>
          <w:bCs/>
          <w:color w:val="auto"/>
          <w:sz w:val="24"/>
          <w:szCs w:val="24"/>
        </w:rPr>
        <w:t>2019年9月</w:t>
      </w:r>
      <w:r>
        <w:rPr>
          <w:rFonts w:hint="eastAsia" w:asciiTheme="minorEastAsia" w:hAnsiTheme="minorEastAsia" w:eastAsiaTheme="minorEastAsia"/>
          <w:b/>
          <w:bCs/>
          <w:color w:val="auto"/>
          <w:sz w:val="24"/>
          <w:szCs w:val="24"/>
          <w:lang w:val="en-US" w:eastAsia="zh-CN"/>
        </w:rPr>
        <w:t>30</w:t>
      </w:r>
      <w:r>
        <w:rPr>
          <w:rFonts w:hint="eastAsia" w:asciiTheme="minorEastAsia" w:hAnsiTheme="minorEastAsia" w:eastAsiaTheme="minorEastAsia"/>
          <w:b/>
          <w:bCs/>
          <w:color w:val="auto"/>
          <w:sz w:val="24"/>
          <w:szCs w:val="24"/>
        </w:rPr>
        <w:t>日上午09:15（北京时间）</w:t>
      </w:r>
    </w:p>
    <w:p>
      <w:pPr>
        <w:spacing w:line="500" w:lineRule="exact"/>
        <w:ind w:left="1089" w:leftChars="495"/>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投标文件接收地点：南京医科大学江宁校区德馨楼B323室</w:t>
      </w:r>
    </w:p>
    <w:p>
      <w:pPr>
        <w:spacing w:line="500" w:lineRule="exact"/>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（南京市江宁区龙眠大道101号，地铁1号南延线南医大-江苏经贸学院站)。</w:t>
      </w:r>
      <w:r>
        <w:rPr>
          <w:rFonts w:asciiTheme="minorEastAsia" w:hAnsiTheme="minorEastAsia" w:eastAsiaTheme="minorEastAsia"/>
          <w:color w:val="auto"/>
          <w:sz w:val="24"/>
          <w:szCs w:val="24"/>
          <w:u w:val="single"/>
        </w:rPr>
        <w:t xml:space="preserve">                             </w:t>
      </w:r>
    </w:p>
    <w:p>
      <w:pPr>
        <w:spacing w:line="500" w:lineRule="exact"/>
        <w:ind w:firstLine="56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8"/>
          <w:szCs w:val="28"/>
        </w:rPr>
        <w:t>（二）</w:t>
      </w:r>
      <w:r>
        <w:rPr>
          <w:rFonts w:hint="eastAsia" w:asciiTheme="minorEastAsia" w:hAnsiTheme="minorEastAsia" w:eastAsiaTheme="minorEastAsia"/>
          <w:color w:val="auto"/>
          <w:sz w:val="24"/>
          <w:szCs w:val="24"/>
        </w:rPr>
        <w:t>开标时间：</w:t>
      </w:r>
      <w:r>
        <w:rPr>
          <w:rFonts w:asciiTheme="minorEastAsia" w:hAnsiTheme="minorEastAsia" w:eastAsiaTheme="minorEastAsia"/>
          <w:color w:val="auto"/>
          <w:sz w:val="24"/>
          <w:szCs w:val="24"/>
        </w:rPr>
        <w:t xml:space="preserve"> </w:t>
      </w:r>
      <w:r>
        <w:rPr>
          <w:rFonts w:hint="eastAsia" w:asciiTheme="minorEastAsia" w:hAnsiTheme="minorEastAsia" w:eastAsiaTheme="minorEastAsia"/>
          <w:b/>
          <w:bCs/>
          <w:color w:val="auto"/>
          <w:sz w:val="24"/>
          <w:szCs w:val="24"/>
        </w:rPr>
        <w:t>2019年9月</w:t>
      </w:r>
      <w:r>
        <w:rPr>
          <w:rFonts w:hint="eastAsia" w:asciiTheme="minorEastAsia" w:hAnsiTheme="minorEastAsia" w:eastAsiaTheme="minorEastAsia"/>
          <w:b/>
          <w:bCs/>
          <w:color w:val="auto"/>
          <w:sz w:val="24"/>
          <w:szCs w:val="24"/>
          <w:lang w:val="en-US" w:eastAsia="zh-CN"/>
        </w:rPr>
        <w:t>30</w:t>
      </w:r>
      <w:r>
        <w:rPr>
          <w:rFonts w:hint="eastAsia" w:asciiTheme="minorEastAsia" w:hAnsiTheme="minorEastAsia" w:eastAsiaTheme="minorEastAsia"/>
          <w:b/>
          <w:bCs/>
          <w:color w:val="auto"/>
          <w:sz w:val="24"/>
          <w:szCs w:val="24"/>
        </w:rPr>
        <w:t>日上午09:15（北京时间）</w:t>
      </w:r>
      <w:bookmarkStart w:id="181" w:name="_GoBack"/>
      <w:bookmarkEnd w:id="181"/>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pStyle w:val="30"/>
        <w:rPr>
          <w:rFonts w:asciiTheme="minorEastAsia" w:hAnsiTheme="minorEastAsia" w:eastAsiaTheme="minorEastAsia"/>
          <w:sz w:val="28"/>
          <w:szCs w:val="28"/>
        </w:rPr>
      </w:pPr>
      <w:r>
        <w:rPr>
          <w:rFonts w:hint="eastAsia"/>
          <w:b/>
          <w:i/>
          <w:color w:val="FF0000"/>
          <w:sz w:val="28"/>
          <w:szCs w:val="28"/>
          <w:u w:val="single"/>
        </w:rPr>
        <w:t>(四)开标一览表必须加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50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eastAsia="仿宋_GB2312" w:asciiTheme="minorEastAsia" w:hAnsiTheme="minorEastAsia"/>
          <w:sz w:val="24"/>
          <w:szCs w:val="24"/>
        </w:rPr>
      </w:pPr>
      <w:r>
        <w:rPr>
          <w:rFonts w:hint="eastAsia" w:asciiTheme="minorEastAsia" w:hAnsiTheme="minorEastAsia" w:eastAsiaTheme="minorEastAsia"/>
          <w:sz w:val="24"/>
          <w:szCs w:val="24"/>
        </w:rPr>
        <w:t>采购人联系人：陈老师              电话：</w:t>
      </w:r>
      <w:r>
        <w:rPr>
          <w:rFonts w:hint="eastAsia" w:ascii="仿宋_GB2312" w:eastAsia="仿宋_GB2312"/>
          <w:b/>
          <w:sz w:val="24"/>
        </w:rPr>
        <w:t xml:space="preserve"> 025-86868572</w:t>
      </w:r>
    </w:p>
    <w:p>
      <w:pPr>
        <w:spacing w:after="0" w:line="500" w:lineRule="exact"/>
        <w:ind w:left="959" w:leftChars="218" w:hanging="480" w:hangingChars="200"/>
        <w:rPr>
          <w:rFonts w:asciiTheme="minorEastAsia" w:hAnsiTheme="minorEastAsia" w:eastAsiaTheme="minorEastAsia"/>
          <w:b/>
          <w:bCs/>
          <w:sz w:val="24"/>
          <w:szCs w:val="24"/>
        </w:rPr>
      </w:pPr>
      <w:r>
        <w:rPr>
          <w:rFonts w:hint="eastAsia" w:asciiTheme="minorEastAsia" w:hAnsiTheme="minorEastAsia" w:eastAsiaTheme="minorEastAsia"/>
          <w:sz w:val="24"/>
          <w:szCs w:val="24"/>
        </w:rPr>
        <w:t>项目需求方联系人：柏老师</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w:t>
      </w:r>
      <w:r>
        <w:rPr>
          <w:rFonts w:hint="eastAsia" w:ascii="仿宋_GB2312" w:eastAsia="仿宋_GB2312"/>
          <w:b/>
          <w:sz w:val="24"/>
        </w:rPr>
        <w:t xml:space="preserve"> 025-86869178</w:t>
      </w:r>
      <w:r>
        <w:rPr>
          <w:rFonts w:hint="eastAsia" w:asciiTheme="minorEastAsia" w:hAnsiTheme="minorEastAsia" w:eastAsiaTheme="minorEastAsia"/>
          <w:b/>
          <w:bCs/>
          <w:sz w:val="24"/>
          <w:szCs w:val="24"/>
        </w:rPr>
        <w:t xml:space="preserve">   </w:t>
      </w:r>
    </w:p>
    <w:p>
      <w:pPr>
        <w:spacing w:after="0" w:line="500" w:lineRule="exact"/>
        <w:ind w:left="959" w:leftChars="218" w:hanging="480" w:hangingChars="200"/>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120614213"/>
      <w:bookmarkStart w:id="20" w:name="_Toc16938518"/>
      <w:bookmarkStart w:id="21" w:name="_Toc513029202"/>
      <w:bookmarkStart w:id="22" w:name="_Toc20823274"/>
      <w:r>
        <w:rPr>
          <w:rFonts w:hint="eastAsia" w:asciiTheme="majorEastAsia" w:hAnsiTheme="majorEastAsia" w:eastAsiaTheme="majorEastAsia"/>
          <w:b/>
          <w:sz w:val="44"/>
        </w:rPr>
        <w:t>投标人须知</w:t>
      </w:r>
      <w:bookmarkEnd w:id="18"/>
      <w:bookmarkEnd w:id="19"/>
      <w:bookmarkEnd w:id="20"/>
      <w:bookmarkEnd w:id="21"/>
      <w:bookmarkEnd w:id="22"/>
    </w:p>
    <w:p>
      <w:pPr>
        <w:pStyle w:val="30"/>
        <w:rPr>
          <w:b/>
          <w:sz w:val="28"/>
          <w:szCs w:val="28"/>
        </w:rPr>
      </w:pPr>
      <w:bookmarkStart w:id="23" w:name="_Toc16938519"/>
      <w:bookmarkStart w:id="24" w:name="_Toc120614214"/>
      <w:bookmarkStart w:id="25" w:name="_Toc513029203"/>
      <w:bookmarkStart w:id="26" w:name="_Toc20823275"/>
      <w:r>
        <w:rPr>
          <w:rFonts w:hint="eastAsia"/>
          <w:b/>
          <w:sz w:val="28"/>
          <w:szCs w:val="28"/>
        </w:rPr>
        <w:t>一、总则</w:t>
      </w:r>
      <w:bookmarkEnd w:id="23"/>
      <w:bookmarkEnd w:id="24"/>
      <w:bookmarkEnd w:id="25"/>
      <w:bookmarkEnd w:id="26"/>
    </w:p>
    <w:p>
      <w:pPr>
        <w:pStyle w:val="30"/>
        <w:rPr>
          <w:b/>
          <w:bCs/>
          <w:sz w:val="28"/>
          <w:szCs w:val="28"/>
        </w:rPr>
      </w:pPr>
      <w:bookmarkStart w:id="27" w:name="_Hlt16619475"/>
      <w:bookmarkEnd w:id="27"/>
      <w:bookmarkStart w:id="28" w:name="_Toc458694821"/>
      <w:bookmarkStart w:id="29" w:name="_Toc16938520"/>
      <w:bookmarkStart w:id="30" w:name="_Toc20823276"/>
      <w:bookmarkStart w:id="31" w:name="_Toc513029204"/>
      <w:r>
        <w:rPr>
          <w:rFonts w:hint="eastAsia"/>
          <w:b/>
          <w:bCs/>
          <w:sz w:val="28"/>
          <w:szCs w:val="28"/>
        </w:rPr>
        <w:t>1</w:t>
      </w:r>
      <w:bookmarkEnd w:id="28"/>
      <w:r>
        <w:rPr>
          <w:rFonts w:hint="eastAsia"/>
          <w:b/>
          <w:bCs/>
          <w:sz w:val="28"/>
          <w:szCs w:val="28"/>
        </w:rPr>
        <w:t>、招标方式</w:t>
      </w:r>
      <w:bookmarkEnd w:id="29"/>
      <w:bookmarkEnd w:id="30"/>
      <w:bookmarkEnd w:id="31"/>
    </w:p>
    <w:p>
      <w:pPr>
        <w:pStyle w:val="30"/>
        <w:rPr>
          <w:sz w:val="28"/>
          <w:szCs w:val="28"/>
        </w:rPr>
      </w:pPr>
      <w:r>
        <w:rPr>
          <w:rFonts w:hint="eastAsia"/>
          <w:sz w:val="28"/>
          <w:szCs w:val="28"/>
        </w:rPr>
        <w:t>1.1 本次招标采取公开招标方式，本招标文件仅适用于招标公告中所述项目。</w:t>
      </w:r>
    </w:p>
    <w:p>
      <w:pPr>
        <w:pStyle w:val="30"/>
        <w:rPr>
          <w:b/>
          <w:bCs/>
          <w:sz w:val="28"/>
          <w:szCs w:val="28"/>
        </w:rPr>
      </w:pPr>
      <w:bookmarkStart w:id="32" w:name="_Toc16938521"/>
      <w:bookmarkStart w:id="33" w:name="_Toc20823277"/>
      <w:bookmarkStart w:id="34" w:name="_Toc513029205"/>
      <w:r>
        <w:rPr>
          <w:rFonts w:hint="eastAsia"/>
          <w:b/>
          <w:bCs/>
          <w:sz w:val="28"/>
          <w:szCs w:val="28"/>
        </w:rPr>
        <w:t>2、合格的投标人</w:t>
      </w:r>
      <w:bookmarkEnd w:id="32"/>
      <w:bookmarkEnd w:id="33"/>
      <w:bookmarkEnd w:id="34"/>
    </w:p>
    <w:p>
      <w:pPr>
        <w:pStyle w:val="30"/>
        <w:rPr>
          <w:sz w:val="28"/>
          <w:szCs w:val="28"/>
        </w:rPr>
      </w:pPr>
      <w:r>
        <w:rPr>
          <w:rFonts w:hint="eastAsia"/>
          <w:sz w:val="28"/>
          <w:szCs w:val="28"/>
        </w:rPr>
        <w:t>2.1满足招标公告中供应商资格要求的规定。</w:t>
      </w:r>
    </w:p>
    <w:p>
      <w:pPr>
        <w:pStyle w:val="30"/>
        <w:rPr>
          <w:sz w:val="28"/>
          <w:szCs w:val="28"/>
        </w:rPr>
      </w:pPr>
      <w:r>
        <w:rPr>
          <w:rFonts w:hint="eastAsia"/>
          <w:sz w:val="28"/>
          <w:szCs w:val="28"/>
        </w:rPr>
        <w:t>2.2 满足本文件实质性条款的规定。</w:t>
      </w:r>
    </w:p>
    <w:p>
      <w:pPr>
        <w:pStyle w:val="30"/>
        <w:rPr>
          <w:b/>
          <w:bCs/>
          <w:sz w:val="28"/>
          <w:szCs w:val="28"/>
        </w:rPr>
      </w:pPr>
      <w:bookmarkStart w:id="35" w:name="_Toc20823278"/>
      <w:bookmarkStart w:id="36" w:name="_Toc513029206"/>
      <w:bookmarkStart w:id="37" w:name="_Toc16938522"/>
      <w:r>
        <w:rPr>
          <w:rFonts w:hint="eastAsia"/>
          <w:b/>
          <w:bCs/>
          <w:sz w:val="28"/>
          <w:szCs w:val="28"/>
        </w:rPr>
        <w:t>3、适用法律</w:t>
      </w:r>
      <w:bookmarkEnd w:id="35"/>
      <w:bookmarkEnd w:id="36"/>
      <w:bookmarkEnd w:id="37"/>
    </w:p>
    <w:p>
      <w:pPr>
        <w:pStyle w:val="30"/>
        <w:rPr>
          <w:sz w:val="28"/>
          <w:szCs w:val="28"/>
        </w:rPr>
      </w:pPr>
      <w:r>
        <w:rPr>
          <w:rFonts w:hint="eastAsia"/>
          <w:sz w:val="28"/>
          <w:szCs w:val="28"/>
        </w:rPr>
        <w:t>本次招标及由此产生的合同受中华人民共和国有关的法律法规制约和保护</w:t>
      </w:r>
      <w:r>
        <w:rPr>
          <w:sz w:val="28"/>
          <w:szCs w:val="28"/>
        </w:rPr>
        <w:t>。</w:t>
      </w:r>
    </w:p>
    <w:p>
      <w:pPr>
        <w:pStyle w:val="30"/>
        <w:rPr>
          <w:b/>
          <w:bCs/>
          <w:sz w:val="28"/>
          <w:szCs w:val="28"/>
        </w:rPr>
      </w:pPr>
      <w:bookmarkStart w:id="38" w:name="_Toc16938523"/>
      <w:bookmarkStart w:id="39" w:name="_Toc462564067"/>
      <w:bookmarkStart w:id="40" w:name="_Toc20823279"/>
      <w:bookmarkStart w:id="41" w:name="_Toc513029207"/>
      <w:r>
        <w:rPr>
          <w:rFonts w:hint="eastAsia"/>
          <w:b/>
          <w:bCs/>
          <w:sz w:val="28"/>
          <w:szCs w:val="28"/>
        </w:rPr>
        <w:t>4、投标费用</w:t>
      </w:r>
      <w:bookmarkEnd w:id="38"/>
      <w:bookmarkEnd w:id="39"/>
      <w:bookmarkEnd w:id="40"/>
      <w:bookmarkEnd w:id="41"/>
    </w:p>
    <w:p>
      <w:pPr>
        <w:pStyle w:val="30"/>
        <w:rPr>
          <w:sz w:val="28"/>
          <w:szCs w:val="28"/>
        </w:rPr>
      </w:pPr>
      <w:r>
        <w:rPr>
          <w:rFonts w:hint="eastAsia"/>
          <w:sz w:val="28"/>
          <w:szCs w:val="28"/>
        </w:rPr>
        <w:t>投标人应自行承担所有与参加投标有关的费用。</w:t>
      </w:r>
    </w:p>
    <w:p>
      <w:pPr>
        <w:pStyle w:val="30"/>
        <w:rPr>
          <w:b/>
          <w:bCs/>
          <w:sz w:val="28"/>
          <w:szCs w:val="28"/>
        </w:rPr>
      </w:pPr>
      <w:r>
        <w:rPr>
          <w:rFonts w:hint="eastAsia"/>
          <w:b/>
          <w:sz w:val="28"/>
          <w:szCs w:val="28"/>
        </w:rPr>
        <w:t>5、</w:t>
      </w:r>
      <w:r>
        <w:rPr>
          <w:rFonts w:hint="eastAsia"/>
          <w:b/>
          <w:bCs/>
          <w:sz w:val="28"/>
          <w:szCs w:val="28"/>
        </w:rPr>
        <w:t>招标文件的约束力</w:t>
      </w:r>
    </w:p>
    <w:p>
      <w:pPr>
        <w:pStyle w:val="30"/>
        <w:rPr>
          <w:sz w:val="28"/>
          <w:szCs w:val="28"/>
        </w:rPr>
      </w:pPr>
      <w:r>
        <w:rPr>
          <w:rFonts w:hint="eastAsia"/>
          <w:sz w:val="28"/>
          <w:szCs w:val="28"/>
        </w:rPr>
        <w:t>投标人一旦参加本项目采购活动，即被认为接受了本招标文件的规定和约束。</w:t>
      </w:r>
    </w:p>
    <w:p>
      <w:pPr>
        <w:pStyle w:val="30"/>
        <w:rPr>
          <w:b/>
          <w:sz w:val="28"/>
          <w:szCs w:val="28"/>
        </w:rPr>
      </w:pPr>
      <w:bookmarkStart w:id="42" w:name="_Toc16938525"/>
      <w:bookmarkStart w:id="43" w:name="_Toc120614215"/>
      <w:bookmarkStart w:id="44" w:name="_Toc20823281"/>
      <w:bookmarkStart w:id="45" w:name="_Toc517190883"/>
      <w:bookmarkStart w:id="46" w:name="_Toc513029209"/>
      <w:r>
        <w:rPr>
          <w:rFonts w:hint="eastAsia"/>
          <w:b/>
          <w:sz w:val="28"/>
          <w:szCs w:val="28"/>
        </w:rPr>
        <w:t>二、招标文件</w:t>
      </w:r>
      <w:bookmarkEnd w:id="42"/>
      <w:bookmarkEnd w:id="43"/>
      <w:bookmarkEnd w:id="44"/>
      <w:bookmarkEnd w:id="45"/>
      <w:bookmarkEnd w:id="46"/>
    </w:p>
    <w:p>
      <w:pPr>
        <w:pStyle w:val="30"/>
        <w:rPr>
          <w:b/>
          <w:bCs/>
          <w:sz w:val="28"/>
          <w:szCs w:val="28"/>
        </w:rPr>
      </w:pPr>
      <w:bookmarkStart w:id="47" w:name="_Toc513029210"/>
      <w:bookmarkStart w:id="48" w:name="_Toc20823282"/>
      <w:bookmarkStart w:id="49" w:name="_Toc16938526"/>
      <w:r>
        <w:rPr>
          <w:rFonts w:hint="eastAsia"/>
          <w:b/>
          <w:bCs/>
          <w:sz w:val="28"/>
          <w:szCs w:val="28"/>
        </w:rPr>
        <w:t>6、招标文件构成</w:t>
      </w:r>
      <w:bookmarkEnd w:id="47"/>
      <w:bookmarkEnd w:id="48"/>
      <w:bookmarkEnd w:id="49"/>
    </w:p>
    <w:p>
      <w:pPr>
        <w:pStyle w:val="30"/>
        <w:rPr>
          <w:sz w:val="28"/>
          <w:szCs w:val="28"/>
        </w:rPr>
      </w:pPr>
      <w:r>
        <w:rPr>
          <w:rFonts w:hint="eastAsia"/>
          <w:bCs/>
          <w:sz w:val="28"/>
          <w:szCs w:val="28"/>
        </w:rPr>
        <w:t>6.1</w:t>
      </w:r>
      <w:r>
        <w:rPr>
          <w:rFonts w:hint="eastAsia"/>
          <w:sz w:val="28"/>
          <w:szCs w:val="28"/>
        </w:rPr>
        <w:t>招标文件由以下部分组成：</w:t>
      </w:r>
    </w:p>
    <w:p>
      <w:pPr>
        <w:pStyle w:val="30"/>
        <w:rPr>
          <w:sz w:val="28"/>
          <w:szCs w:val="28"/>
        </w:rPr>
      </w:pPr>
      <w:r>
        <w:rPr>
          <w:rFonts w:hint="eastAsia"/>
          <w:sz w:val="28"/>
          <w:szCs w:val="28"/>
        </w:rPr>
        <w:t>（1）招标公告</w:t>
      </w:r>
    </w:p>
    <w:p>
      <w:pPr>
        <w:pStyle w:val="30"/>
        <w:rPr>
          <w:sz w:val="28"/>
          <w:szCs w:val="28"/>
        </w:rPr>
      </w:pPr>
      <w:r>
        <w:rPr>
          <w:rFonts w:hint="eastAsia"/>
          <w:sz w:val="28"/>
          <w:szCs w:val="28"/>
        </w:rPr>
        <w:t>（2）投标人须知</w:t>
      </w:r>
    </w:p>
    <w:p>
      <w:pPr>
        <w:pStyle w:val="30"/>
        <w:rPr>
          <w:sz w:val="28"/>
          <w:szCs w:val="28"/>
        </w:rPr>
      </w:pPr>
      <w:r>
        <w:rPr>
          <w:rFonts w:hint="eastAsia"/>
          <w:sz w:val="28"/>
          <w:szCs w:val="28"/>
        </w:rPr>
        <w:t>（3）项目需求</w:t>
      </w:r>
    </w:p>
    <w:p>
      <w:pPr>
        <w:pStyle w:val="30"/>
        <w:rPr>
          <w:sz w:val="28"/>
          <w:szCs w:val="28"/>
        </w:rPr>
      </w:pPr>
      <w:r>
        <w:rPr>
          <w:rFonts w:hint="eastAsia"/>
          <w:sz w:val="28"/>
          <w:szCs w:val="28"/>
        </w:rPr>
        <w:t>（4）评标方法与评标标准</w:t>
      </w:r>
    </w:p>
    <w:p>
      <w:pPr>
        <w:pStyle w:val="30"/>
        <w:rPr>
          <w:sz w:val="28"/>
          <w:szCs w:val="28"/>
        </w:rPr>
      </w:pPr>
      <w:r>
        <w:rPr>
          <w:rFonts w:hint="eastAsia"/>
          <w:sz w:val="28"/>
          <w:szCs w:val="28"/>
        </w:rPr>
        <w:t>（5）投标文件格式</w:t>
      </w:r>
    </w:p>
    <w:p>
      <w:pPr>
        <w:pStyle w:val="30"/>
        <w:rPr>
          <w:sz w:val="28"/>
          <w:szCs w:val="28"/>
        </w:rPr>
      </w:pPr>
      <w:r>
        <w:rPr>
          <w:rFonts w:hint="eastAsia"/>
          <w:sz w:val="28"/>
          <w:szCs w:val="28"/>
        </w:rPr>
        <w:t>请仔细检查招标文件是否齐全，如有缺漏请立即与采购人联系解决。</w:t>
      </w:r>
    </w:p>
    <w:p>
      <w:pPr>
        <w:pStyle w:val="30"/>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30"/>
        <w:rPr>
          <w:b/>
          <w:bCs/>
          <w:sz w:val="28"/>
          <w:szCs w:val="28"/>
        </w:rPr>
      </w:pPr>
      <w:bookmarkStart w:id="50" w:name="_Toc20823283"/>
      <w:bookmarkStart w:id="51" w:name="_Toc462564070"/>
      <w:bookmarkStart w:id="52" w:name="_Toc16938527"/>
      <w:bookmarkStart w:id="53" w:name="_Toc513029211"/>
      <w:r>
        <w:rPr>
          <w:rFonts w:hint="eastAsia"/>
          <w:b/>
          <w:bCs/>
          <w:sz w:val="28"/>
          <w:szCs w:val="28"/>
        </w:rPr>
        <w:t>7、招标文件的澄清</w:t>
      </w:r>
      <w:bookmarkEnd w:id="50"/>
      <w:bookmarkEnd w:id="51"/>
      <w:bookmarkEnd w:id="52"/>
      <w:bookmarkEnd w:id="53"/>
    </w:p>
    <w:p>
      <w:pPr>
        <w:pStyle w:val="30"/>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30"/>
        <w:rPr>
          <w:b/>
          <w:bCs/>
          <w:sz w:val="28"/>
          <w:szCs w:val="28"/>
        </w:rPr>
      </w:pPr>
      <w:bookmarkStart w:id="54" w:name="_Toc513029212"/>
      <w:bookmarkStart w:id="55" w:name="_Toc20823284"/>
      <w:bookmarkStart w:id="56" w:name="_Toc16938528"/>
      <w:bookmarkStart w:id="57" w:name="_Toc462564071"/>
      <w:r>
        <w:rPr>
          <w:rFonts w:hint="eastAsia"/>
          <w:b/>
          <w:bCs/>
          <w:sz w:val="28"/>
          <w:szCs w:val="28"/>
        </w:rPr>
        <w:t>8、招标文件的修改</w:t>
      </w:r>
      <w:bookmarkEnd w:id="54"/>
      <w:bookmarkEnd w:id="55"/>
      <w:bookmarkEnd w:id="56"/>
      <w:bookmarkEnd w:id="57"/>
    </w:p>
    <w:p>
      <w:pPr>
        <w:pStyle w:val="30"/>
        <w:rPr>
          <w:sz w:val="28"/>
          <w:szCs w:val="28"/>
        </w:rPr>
      </w:pPr>
      <w:r>
        <w:rPr>
          <w:rFonts w:hint="eastAsia"/>
          <w:bCs/>
          <w:sz w:val="28"/>
          <w:szCs w:val="28"/>
        </w:rPr>
        <w:t>8.1</w:t>
      </w:r>
      <w:r>
        <w:rPr>
          <w:rFonts w:hint="eastAsia"/>
          <w:sz w:val="28"/>
          <w:szCs w:val="28"/>
        </w:rPr>
        <w:t>在投标截止时间前，采购人可以对招标文件进行修改。</w:t>
      </w:r>
    </w:p>
    <w:p>
      <w:pPr>
        <w:pStyle w:val="30"/>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30"/>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30"/>
        <w:rPr>
          <w:b/>
          <w:sz w:val="28"/>
          <w:szCs w:val="28"/>
        </w:rPr>
      </w:pPr>
      <w:bookmarkStart w:id="58" w:name="_Toc120614216"/>
      <w:bookmarkStart w:id="59" w:name="_Toc513029213"/>
      <w:bookmarkStart w:id="60" w:name="_Toc517190884"/>
      <w:bookmarkStart w:id="61" w:name="_Toc20823285"/>
      <w:bookmarkStart w:id="62" w:name="_Toc462564072"/>
      <w:bookmarkStart w:id="63" w:name="_Toc16938529"/>
      <w:r>
        <w:rPr>
          <w:rFonts w:hint="eastAsia"/>
          <w:b/>
          <w:sz w:val="28"/>
          <w:szCs w:val="28"/>
        </w:rPr>
        <w:t>三、投标文件的编制</w:t>
      </w:r>
      <w:bookmarkEnd w:id="58"/>
      <w:bookmarkEnd w:id="59"/>
      <w:bookmarkEnd w:id="60"/>
      <w:bookmarkEnd w:id="61"/>
      <w:bookmarkEnd w:id="62"/>
      <w:bookmarkEnd w:id="63"/>
    </w:p>
    <w:p>
      <w:pPr>
        <w:pStyle w:val="30"/>
        <w:rPr>
          <w:bCs/>
          <w:sz w:val="28"/>
          <w:szCs w:val="28"/>
        </w:rPr>
      </w:pPr>
      <w:bookmarkStart w:id="64" w:name="_Toc16938530"/>
      <w:bookmarkStart w:id="65" w:name="_Toc513029214"/>
      <w:bookmarkStart w:id="66" w:name="_Toc462564073"/>
      <w:bookmarkStart w:id="67" w:name="_Toc20823286"/>
      <w:r>
        <w:rPr>
          <w:rFonts w:hint="eastAsia"/>
          <w:b/>
          <w:bCs/>
          <w:sz w:val="28"/>
          <w:szCs w:val="28"/>
        </w:rPr>
        <w:t>9、投标文件的语言及度量衡单位</w:t>
      </w:r>
      <w:bookmarkEnd w:id="64"/>
      <w:bookmarkEnd w:id="65"/>
      <w:bookmarkEnd w:id="66"/>
      <w:bookmarkEnd w:id="67"/>
    </w:p>
    <w:p>
      <w:pPr>
        <w:pStyle w:val="30"/>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30"/>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30"/>
        <w:rPr>
          <w:b/>
          <w:bCs/>
          <w:sz w:val="28"/>
          <w:szCs w:val="28"/>
        </w:rPr>
      </w:pPr>
      <w:bookmarkStart w:id="68" w:name="_Toc513029215"/>
      <w:bookmarkStart w:id="69" w:name="_Toc20823287"/>
      <w:bookmarkStart w:id="70" w:name="_Toc16938531"/>
      <w:bookmarkStart w:id="71" w:name="_Toc462564074"/>
      <w:r>
        <w:rPr>
          <w:rFonts w:hint="eastAsia"/>
          <w:b/>
          <w:bCs/>
          <w:sz w:val="28"/>
          <w:szCs w:val="28"/>
        </w:rPr>
        <w:t>10、投标文件构成</w:t>
      </w:r>
      <w:bookmarkEnd w:id="68"/>
      <w:bookmarkEnd w:id="69"/>
      <w:bookmarkEnd w:id="70"/>
      <w:bookmarkEnd w:id="71"/>
    </w:p>
    <w:p>
      <w:pPr>
        <w:pStyle w:val="30"/>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30"/>
        <w:rPr>
          <w:sz w:val="28"/>
          <w:szCs w:val="28"/>
        </w:rPr>
      </w:pPr>
      <w:r>
        <w:rPr>
          <w:rFonts w:hint="eastAsia"/>
          <w:sz w:val="28"/>
          <w:szCs w:val="28"/>
        </w:rPr>
        <w:t>10.2投标人应将投标文件按顺序装订成册，并编制投标文件资料目录。</w:t>
      </w:r>
    </w:p>
    <w:p>
      <w:pPr>
        <w:pStyle w:val="30"/>
        <w:rPr>
          <w:b/>
          <w:bCs/>
          <w:sz w:val="28"/>
          <w:szCs w:val="28"/>
        </w:rPr>
      </w:pPr>
      <w:bookmarkStart w:id="72" w:name="_Hlt26670360"/>
      <w:bookmarkEnd w:id="72"/>
      <w:bookmarkStart w:id="73" w:name="_Hlt26668975"/>
      <w:bookmarkEnd w:id="73"/>
      <w:bookmarkStart w:id="74" w:name="_Hlt26954838"/>
      <w:bookmarkEnd w:id="74"/>
      <w:bookmarkStart w:id="75" w:name="_Toc14577357"/>
      <w:bookmarkStart w:id="76" w:name="_Toc49090509"/>
      <w:bookmarkStart w:id="77" w:name="_Toc513029219"/>
      <w:bookmarkStart w:id="78" w:name="_Toc513029216"/>
      <w:bookmarkStart w:id="79" w:name="_Toc14577354"/>
      <w:bookmarkStart w:id="80" w:name="_Toc49090507"/>
      <w:r>
        <w:rPr>
          <w:rFonts w:hint="eastAsia"/>
          <w:b/>
          <w:bCs/>
          <w:sz w:val="28"/>
          <w:szCs w:val="28"/>
        </w:rPr>
        <w:t>11、证明投标人资格及符合招标文件规定的文件</w:t>
      </w:r>
      <w:bookmarkEnd w:id="75"/>
      <w:bookmarkEnd w:id="76"/>
      <w:bookmarkEnd w:id="77"/>
    </w:p>
    <w:p>
      <w:pPr>
        <w:pStyle w:val="30"/>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30"/>
        <w:rPr>
          <w:sz w:val="28"/>
          <w:szCs w:val="28"/>
        </w:rPr>
      </w:pPr>
      <w:r>
        <w:rPr>
          <w:rFonts w:hint="eastAsia"/>
          <w:sz w:val="28"/>
          <w:szCs w:val="28"/>
        </w:rPr>
        <w:t>11.2投标人应具有资格参加投标和中标后有能力独立履行合同的能力。</w:t>
      </w:r>
    </w:p>
    <w:p>
      <w:pPr>
        <w:pStyle w:val="30"/>
        <w:rPr>
          <w:sz w:val="28"/>
          <w:szCs w:val="28"/>
        </w:rPr>
      </w:pPr>
      <w:r>
        <w:rPr>
          <w:rFonts w:hint="eastAsia"/>
          <w:sz w:val="28"/>
          <w:szCs w:val="28"/>
        </w:rPr>
        <w:t>11.3投标人除必须具有履行合同所需提供的货物以及服务的能力外，还必须具备相应的财务、技术方面的能力。</w:t>
      </w:r>
    </w:p>
    <w:p>
      <w:pPr>
        <w:pStyle w:val="30"/>
        <w:rPr>
          <w:sz w:val="28"/>
          <w:szCs w:val="28"/>
        </w:rPr>
      </w:pPr>
      <w:r>
        <w:rPr>
          <w:rFonts w:hint="eastAsia"/>
          <w:sz w:val="28"/>
          <w:szCs w:val="28"/>
        </w:rPr>
        <w:t>11.4投标人应提交根据采购项目要求提供的证明产品质量合格以及符合招标文件规定的证明文件。</w:t>
      </w:r>
    </w:p>
    <w:p>
      <w:pPr>
        <w:pStyle w:val="30"/>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30"/>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30"/>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30"/>
        <w:rPr>
          <w:bCs/>
          <w:sz w:val="28"/>
          <w:szCs w:val="28"/>
        </w:rPr>
      </w:pPr>
      <w:r>
        <w:rPr>
          <w:rFonts w:hint="eastAsia"/>
          <w:sz w:val="28"/>
          <w:szCs w:val="28"/>
        </w:rPr>
        <w:t>12.3</w:t>
      </w:r>
      <w:r>
        <w:rPr>
          <w:rFonts w:hint="eastAsia"/>
          <w:bCs/>
          <w:sz w:val="28"/>
          <w:szCs w:val="28"/>
        </w:rPr>
        <w:t>有关费用处理</w:t>
      </w:r>
    </w:p>
    <w:p>
      <w:pPr>
        <w:pStyle w:val="30"/>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30"/>
        <w:rPr>
          <w:bCs/>
          <w:sz w:val="28"/>
          <w:szCs w:val="28"/>
        </w:rPr>
      </w:pPr>
      <w:r>
        <w:rPr>
          <w:rFonts w:hint="eastAsia"/>
          <w:sz w:val="28"/>
          <w:szCs w:val="28"/>
        </w:rPr>
        <w:t>12.4</w:t>
      </w:r>
      <w:r>
        <w:rPr>
          <w:rFonts w:hint="eastAsia"/>
          <w:bCs/>
          <w:sz w:val="28"/>
          <w:szCs w:val="28"/>
        </w:rPr>
        <w:t>其它费用处理</w:t>
      </w:r>
    </w:p>
    <w:p>
      <w:pPr>
        <w:pStyle w:val="30"/>
        <w:rPr>
          <w:bCs/>
          <w:sz w:val="28"/>
          <w:szCs w:val="28"/>
        </w:rPr>
      </w:pPr>
      <w:r>
        <w:rPr>
          <w:rFonts w:hint="eastAsia"/>
          <w:bCs/>
          <w:sz w:val="28"/>
          <w:szCs w:val="28"/>
        </w:rPr>
        <w:t>招标文件未列明，而投标人认为必需的费用也需列入报价。</w:t>
      </w:r>
    </w:p>
    <w:p>
      <w:pPr>
        <w:pStyle w:val="30"/>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30"/>
        <w:rPr>
          <w:bCs/>
          <w:sz w:val="28"/>
          <w:szCs w:val="28"/>
        </w:rPr>
      </w:pPr>
      <w:bookmarkStart w:id="87" w:name="_Hlt26954844"/>
      <w:bookmarkEnd w:id="87"/>
      <w:bookmarkStart w:id="88" w:name="_Hlt26670425"/>
      <w:bookmarkEnd w:id="88"/>
      <w:bookmarkStart w:id="89" w:name="_Hlt26670403"/>
      <w:bookmarkEnd w:id="89"/>
      <w:bookmarkStart w:id="90" w:name="_Hlt26668983"/>
      <w:bookmarkEnd w:id="90"/>
      <w:bookmarkStart w:id="91" w:name="_Hlt26954842"/>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30"/>
        <w:rPr>
          <w:bCs/>
          <w:sz w:val="28"/>
          <w:szCs w:val="28"/>
        </w:rPr>
      </w:pPr>
      <w:r>
        <w:rPr>
          <w:rFonts w:hint="eastAsia"/>
          <w:sz w:val="28"/>
          <w:szCs w:val="28"/>
        </w:rPr>
        <w:t>（2）</w:t>
      </w:r>
      <w:r>
        <w:rPr>
          <w:rFonts w:hint="eastAsia"/>
          <w:bCs/>
          <w:sz w:val="28"/>
          <w:szCs w:val="28"/>
        </w:rPr>
        <w:t>项目单价按投标配置及分项报价表中要求填报。</w:t>
      </w:r>
    </w:p>
    <w:p>
      <w:pPr>
        <w:pStyle w:val="30"/>
        <w:rPr>
          <w:b/>
          <w:bCs/>
          <w:sz w:val="28"/>
          <w:szCs w:val="28"/>
        </w:rPr>
      </w:pPr>
      <w:bookmarkStart w:id="92" w:name="_Hlt26670486"/>
      <w:bookmarkEnd w:id="92"/>
      <w:bookmarkStart w:id="93" w:name="_Hlt26954731"/>
      <w:bookmarkEnd w:id="93"/>
      <w:bookmarkStart w:id="94" w:name="_Hlt26954848"/>
      <w:bookmarkEnd w:id="94"/>
      <w:bookmarkStart w:id="95" w:name="_Hlt26954846"/>
      <w:bookmarkEnd w:id="95"/>
      <w:bookmarkStart w:id="96" w:name="_Hlt26670482"/>
      <w:bookmarkEnd w:id="96"/>
      <w:r>
        <w:rPr>
          <w:rFonts w:hint="eastAsia"/>
          <w:b/>
          <w:bCs/>
          <w:sz w:val="28"/>
          <w:szCs w:val="28"/>
        </w:rPr>
        <w:t>13、技术参数响应及偏离表和投标货物说明</w:t>
      </w:r>
    </w:p>
    <w:p>
      <w:pPr>
        <w:pStyle w:val="30"/>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30"/>
        <w:rPr>
          <w:rFonts w:cs="宋体"/>
          <w:sz w:val="28"/>
          <w:szCs w:val="28"/>
          <w:lang w:val="zh-CN"/>
        </w:rPr>
      </w:pPr>
      <w:r>
        <w:rPr>
          <w:rFonts w:hint="eastAsia" w:cs="宋体"/>
          <w:sz w:val="28"/>
          <w:szCs w:val="28"/>
          <w:lang w:val="zh-CN"/>
        </w:rPr>
        <w:t>13.2详细阐述所投货物的主要组成部分、功能设计、实现思路及关键技术；</w:t>
      </w:r>
    </w:p>
    <w:p>
      <w:pPr>
        <w:pStyle w:val="30"/>
        <w:rPr>
          <w:rFonts w:cs="宋体"/>
          <w:sz w:val="28"/>
          <w:szCs w:val="28"/>
          <w:lang w:val="zh-CN"/>
        </w:rPr>
      </w:pPr>
      <w:r>
        <w:rPr>
          <w:rFonts w:hint="eastAsia" w:cs="宋体"/>
          <w:sz w:val="28"/>
          <w:szCs w:val="28"/>
          <w:lang w:val="zh-CN"/>
        </w:rPr>
        <w:t>13.3投标人认为需要的其他技术文件或说明。</w:t>
      </w:r>
    </w:p>
    <w:p>
      <w:pPr>
        <w:pStyle w:val="30"/>
        <w:rPr>
          <w:b/>
          <w:bCs/>
          <w:sz w:val="28"/>
          <w:szCs w:val="28"/>
        </w:rPr>
      </w:pPr>
      <w:r>
        <w:rPr>
          <w:rFonts w:hint="eastAsia"/>
          <w:b/>
          <w:bCs/>
          <w:sz w:val="28"/>
          <w:szCs w:val="28"/>
        </w:rPr>
        <w:t>14、服务承诺及售后服务机构、人员的情况介绍</w:t>
      </w:r>
    </w:p>
    <w:p>
      <w:pPr>
        <w:pStyle w:val="30"/>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30"/>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30"/>
        <w:rPr>
          <w:rFonts w:cs="宋体"/>
          <w:sz w:val="28"/>
          <w:szCs w:val="28"/>
          <w:lang w:val="zh-CN"/>
        </w:rPr>
      </w:pPr>
      <w:r>
        <w:rPr>
          <w:rFonts w:hint="eastAsia" w:cs="宋体"/>
          <w:sz w:val="28"/>
          <w:szCs w:val="28"/>
          <w:lang w:val="zh-CN"/>
        </w:rPr>
        <w:t>14.3培训计划；</w:t>
      </w:r>
    </w:p>
    <w:p>
      <w:pPr>
        <w:pStyle w:val="30"/>
        <w:rPr>
          <w:rFonts w:cs="宋体"/>
          <w:sz w:val="28"/>
          <w:szCs w:val="28"/>
          <w:lang w:val="zh-CN"/>
        </w:rPr>
      </w:pPr>
      <w:r>
        <w:rPr>
          <w:rFonts w:hint="eastAsia" w:cs="宋体"/>
          <w:sz w:val="28"/>
          <w:szCs w:val="28"/>
          <w:lang w:val="zh-CN"/>
        </w:rPr>
        <w:t>14.4提供参加本项目类似案例简介；</w:t>
      </w:r>
    </w:p>
    <w:p>
      <w:pPr>
        <w:pStyle w:val="30"/>
        <w:rPr>
          <w:b/>
          <w:bCs/>
          <w:sz w:val="28"/>
          <w:szCs w:val="28"/>
        </w:rPr>
      </w:pPr>
      <w:bookmarkStart w:id="97" w:name="_Toc14577359"/>
      <w:bookmarkStart w:id="98" w:name="_Toc49090510"/>
      <w:r>
        <w:rPr>
          <w:rFonts w:hint="eastAsia"/>
          <w:b/>
          <w:bCs/>
          <w:sz w:val="28"/>
          <w:szCs w:val="28"/>
        </w:rPr>
        <w:t>15、投标函和开标一览表</w:t>
      </w:r>
    </w:p>
    <w:p>
      <w:pPr>
        <w:pStyle w:val="30"/>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30"/>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30"/>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30"/>
        <w:rPr>
          <w:b/>
          <w:bCs/>
          <w:sz w:val="28"/>
          <w:szCs w:val="28"/>
        </w:rPr>
      </w:pPr>
      <w:r>
        <w:rPr>
          <w:rFonts w:hint="eastAsia"/>
          <w:b/>
          <w:bCs/>
          <w:sz w:val="28"/>
          <w:szCs w:val="28"/>
        </w:rPr>
        <w:t>16、投标保证金</w:t>
      </w:r>
      <w:bookmarkEnd w:id="97"/>
      <w:bookmarkEnd w:id="98"/>
    </w:p>
    <w:p>
      <w:pPr>
        <w:pStyle w:val="30"/>
        <w:rPr>
          <w:bCs/>
          <w:sz w:val="28"/>
          <w:szCs w:val="28"/>
        </w:rPr>
      </w:pPr>
      <w:r>
        <w:rPr>
          <w:rFonts w:hint="eastAsia"/>
          <w:sz w:val="28"/>
          <w:szCs w:val="28"/>
        </w:rPr>
        <w:t>16.1</w:t>
      </w:r>
      <w:r>
        <w:rPr>
          <w:rFonts w:hint="eastAsia"/>
          <w:bCs/>
          <w:sz w:val="28"/>
          <w:szCs w:val="28"/>
        </w:rPr>
        <w:t>在开标时，未按要求提交投标保证金的投标无效。</w:t>
      </w:r>
    </w:p>
    <w:p>
      <w:pPr>
        <w:pStyle w:val="30"/>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30"/>
        <w:rPr>
          <w:bCs/>
          <w:sz w:val="28"/>
          <w:szCs w:val="28"/>
        </w:rPr>
      </w:pPr>
      <w:r>
        <w:rPr>
          <w:rFonts w:hint="eastAsia"/>
          <w:sz w:val="28"/>
          <w:szCs w:val="28"/>
        </w:rPr>
        <w:t>16.3</w:t>
      </w:r>
      <w:r>
        <w:rPr>
          <w:rFonts w:hint="eastAsia"/>
          <w:bCs/>
          <w:sz w:val="28"/>
          <w:szCs w:val="28"/>
        </w:rPr>
        <w:t>下列任何情况发生时，投标保证金将不予退还：</w:t>
      </w:r>
    </w:p>
    <w:p>
      <w:pPr>
        <w:pStyle w:val="30"/>
        <w:rPr>
          <w:bCs/>
          <w:sz w:val="28"/>
          <w:szCs w:val="28"/>
        </w:rPr>
      </w:pPr>
      <w:r>
        <w:rPr>
          <w:rFonts w:hint="eastAsia"/>
          <w:bCs/>
          <w:sz w:val="28"/>
          <w:szCs w:val="28"/>
        </w:rPr>
        <w:t>（1）投标人在投标有效期内撤回其投标；</w:t>
      </w:r>
    </w:p>
    <w:p>
      <w:pPr>
        <w:pStyle w:val="30"/>
        <w:rPr>
          <w:bCs/>
          <w:sz w:val="28"/>
          <w:szCs w:val="28"/>
        </w:rPr>
      </w:pPr>
      <w:r>
        <w:rPr>
          <w:rFonts w:hint="eastAsia"/>
          <w:bCs/>
          <w:sz w:val="28"/>
          <w:szCs w:val="28"/>
        </w:rPr>
        <w:t>（2）投标人提供的有关资料、资格证明文件被确认是不真实的；</w:t>
      </w:r>
    </w:p>
    <w:p>
      <w:pPr>
        <w:pStyle w:val="30"/>
        <w:rPr>
          <w:sz w:val="28"/>
          <w:szCs w:val="28"/>
        </w:rPr>
      </w:pPr>
      <w:r>
        <w:rPr>
          <w:rFonts w:hint="eastAsia"/>
          <w:sz w:val="28"/>
          <w:szCs w:val="28"/>
        </w:rPr>
        <w:t>（3）投标人之间被证实有串通（统一哄抬价格）、欺诈行为；</w:t>
      </w:r>
    </w:p>
    <w:p>
      <w:pPr>
        <w:pStyle w:val="30"/>
        <w:rPr>
          <w:sz w:val="28"/>
          <w:szCs w:val="28"/>
        </w:rPr>
      </w:pPr>
      <w:r>
        <w:rPr>
          <w:rFonts w:hint="eastAsia"/>
          <w:sz w:val="28"/>
          <w:szCs w:val="28"/>
        </w:rPr>
        <w:t>（4）投标人被证明有妨碍其他人公平竞争、损害采购人或者其他投标人合法权益的；</w:t>
      </w:r>
    </w:p>
    <w:p>
      <w:pPr>
        <w:pStyle w:val="30"/>
        <w:rPr>
          <w:b/>
          <w:bCs/>
          <w:sz w:val="28"/>
          <w:szCs w:val="28"/>
        </w:rPr>
      </w:pPr>
      <w:bookmarkStart w:id="99" w:name="_Hlt26670489"/>
      <w:bookmarkEnd w:id="99"/>
      <w:bookmarkStart w:id="100" w:name="_Hlt26954852"/>
      <w:bookmarkEnd w:id="100"/>
      <w:bookmarkStart w:id="101" w:name="_Hlt26954734"/>
      <w:bookmarkEnd w:id="101"/>
      <w:bookmarkStart w:id="102" w:name="_Hlt26954850"/>
      <w:bookmarkEnd w:id="102"/>
      <w:bookmarkStart w:id="103" w:name="_Hlt26954739"/>
      <w:bookmarkEnd w:id="103"/>
      <w:bookmarkStart w:id="104" w:name="_Toc14577361"/>
      <w:bookmarkStart w:id="105" w:name="_Toc49090512"/>
      <w:r>
        <w:rPr>
          <w:rFonts w:hint="eastAsia"/>
          <w:b/>
          <w:bCs/>
          <w:sz w:val="28"/>
          <w:szCs w:val="28"/>
        </w:rPr>
        <w:t>17、投标文件份数和签署</w:t>
      </w:r>
      <w:bookmarkEnd w:id="104"/>
      <w:bookmarkEnd w:id="105"/>
    </w:p>
    <w:p>
      <w:pPr>
        <w:pStyle w:val="30"/>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30"/>
        <w:rPr>
          <w:sz w:val="28"/>
          <w:szCs w:val="28"/>
        </w:rPr>
      </w:pPr>
      <w:r>
        <w:rPr>
          <w:rFonts w:hint="eastAsia"/>
          <w:sz w:val="28"/>
          <w:szCs w:val="28"/>
        </w:rPr>
        <w:t>17.2投标文件的正本须经法定代表人或授权代表签署和加盖投标人公章。</w:t>
      </w:r>
    </w:p>
    <w:p>
      <w:pPr>
        <w:pStyle w:val="30"/>
        <w:rPr>
          <w:b/>
          <w:sz w:val="28"/>
          <w:szCs w:val="28"/>
        </w:rPr>
      </w:pPr>
      <w:bookmarkStart w:id="106" w:name="_Toc16938540"/>
      <w:bookmarkStart w:id="107" w:name="_Toc120614217"/>
      <w:bookmarkStart w:id="108" w:name="_Toc517190885"/>
      <w:bookmarkStart w:id="109" w:name="_Toc20823296"/>
      <w:bookmarkStart w:id="110" w:name="_Toc513029224"/>
      <w:r>
        <w:rPr>
          <w:rFonts w:hint="eastAsia"/>
          <w:b/>
          <w:sz w:val="28"/>
          <w:szCs w:val="28"/>
        </w:rPr>
        <w:t>四、投标文件的递交</w:t>
      </w:r>
      <w:bookmarkEnd w:id="106"/>
      <w:bookmarkEnd w:id="107"/>
      <w:bookmarkEnd w:id="108"/>
      <w:bookmarkEnd w:id="109"/>
      <w:bookmarkEnd w:id="110"/>
    </w:p>
    <w:p>
      <w:pPr>
        <w:pStyle w:val="30"/>
        <w:rPr>
          <w:b/>
          <w:bCs/>
          <w:sz w:val="28"/>
          <w:szCs w:val="28"/>
        </w:rPr>
      </w:pPr>
      <w:bookmarkStart w:id="111" w:name="_Toc20823297"/>
      <w:bookmarkStart w:id="112" w:name="_Toc513029225"/>
      <w:bookmarkStart w:id="113" w:name="_Toc462564084"/>
      <w:bookmarkStart w:id="114" w:name="_Toc16938541"/>
      <w:r>
        <w:rPr>
          <w:rFonts w:hint="eastAsia"/>
          <w:b/>
          <w:bCs/>
          <w:sz w:val="28"/>
          <w:szCs w:val="28"/>
        </w:rPr>
        <w:t>18、投标文件的密封和标记</w:t>
      </w:r>
      <w:bookmarkEnd w:id="111"/>
      <w:bookmarkEnd w:id="112"/>
      <w:bookmarkEnd w:id="113"/>
      <w:bookmarkEnd w:id="114"/>
    </w:p>
    <w:p>
      <w:pPr>
        <w:pStyle w:val="30"/>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30"/>
        <w:rPr>
          <w:bCs/>
          <w:sz w:val="28"/>
          <w:szCs w:val="28"/>
        </w:rPr>
      </w:pPr>
      <w:r>
        <w:rPr>
          <w:rFonts w:hint="eastAsia"/>
          <w:sz w:val="28"/>
          <w:szCs w:val="28"/>
        </w:rPr>
        <w:t>18.2</w:t>
      </w:r>
      <w:r>
        <w:rPr>
          <w:rFonts w:hint="eastAsia"/>
          <w:bCs/>
          <w:sz w:val="28"/>
          <w:szCs w:val="28"/>
        </w:rPr>
        <w:t>密封的投标文件应：</w:t>
      </w:r>
    </w:p>
    <w:p>
      <w:pPr>
        <w:pStyle w:val="30"/>
        <w:rPr>
          <w:bCs/>
          <w:sz w:val="28"/>
          <w:szCs w:val="28"/>
        </w:rPr>
      </w:pPr>
      <w:r>
        <w:rPr>
          <w:rFonts w:hint="eastAsia"/>
          <w:bCs/>
          <w:sz w:val="28"/>
          <w:szCs w:val="28"/>
        </w:rPr>
        <w:t>（1）注明投标人名称，如因标注不清而产生的后果由投标人自负。</w:t>
      </w:r>
    </w:p>
    <w:p>
      <w:pPr>
        <w:pStyle w:val="30"/>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30"/>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30"/>
        <w:rPr>
          <w:b/>
          <w:bCs/>
          <w:sz w:val="28"/>
          <w:szCs w:val="28"/>
        </w:rPr>
      </w:pPr>
      <w:bookmarkStart w:id="115" w:name="_Toc20823298"/>
      <w:bookmarkStart w:id="116" w:name="_Toc513029226"/>
      <w:bookmarkStart w:id="117" w:name="_Toc16938542"/>
      <w:r>
        <w:rPr>
          <w:rFonts w:hint="eastAsia"/>
          <w:b/>
          <w:bCs/>
          <w:sz w:val="28"/>
          <w:szCs w:val="28"/>
        </w:rPr>
        <w:t>19、投标截止</w:t>
      </w:r>
      <w:bookmarkEnd w:id="115"/>
      <w:bookmarkEnd w:id="116"/>
      <w:bookmarkEnd w:id="117"/>
      <w:r>
        <w:rPr>
          <w:rFonts w:hint="eastAsia"/>
          <w:b/>
          <w:bCs/>
          <w:sz w:val="28"/>
          <w:szCs w:val="28"/>
        </w:rPr>
        <w:t>时间</w:t>
      </w:r>
    </w:p>
    <w:p>
      <w:pPr>
        <w:pStyle w:val="30"/>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30"/>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30"/>
        <w:rPr>
          <w:b/>
          <w:bCs/>
          <w:sz w:val="28"/>
          <w:szCs w:val="28"/>
        </w:rPr>
      </w:pPr>
      <w:bookmarkStart w:id="118" w:name="_Toc513029227"/>
      <w:bookmarkStart w:id="119" w:name="_Toc20823299"/>
      <w:bookmarkStart w:id="120" w:name="_Toc16938543"/>
      <w:r>
        <w:rPr>
          <w:rFonts w:hint="eastAsia"/>
          <w:b/>
          <w:bCs/>
          <w:sz w:val="28"/>
          <w:szCs w:val="28"/>
        </w:rPr>
        <w:t>20、投标文件</w:t>
      </w:r>
      <w:bookmarkEnd w:id="118"/>
      <w:bookmarkEnd w:id="119"/>
      <w:bookmarkEnd w:id="120"/>
      <w:r>
        <w:rPr>
          <w:rFonts w:hint="eastAsia"/>
          <w:b/>
          <w:bCs/>
          <w:sz w:val="28"/>
          <w:szCs w:val="28"/>
        </w:rPr>
        <w:t>的递交</w:t>
      </w:r>
    </w:p>
    <w:p>
      <w:pPr>
        <w:pStyle w:val="30"/>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30"/>
        <w:rPr>
          <w:bCs/>
          <w:sz w:val="28"/>
          <w:szCs w:val="28"/>
        </w:rPr>
      </w:pPr>
      <w:r>
        <w:rPr>
          <w:rFonts w:hint="eastAsia"/>
          <w:bCs/>
          <w:sz w:val="28"/>
          <w:szCs w:val="28"/>
        </w:rPr>
        <w:t>20.2未按照招标文件要求的格式编制的投标文件，后果由投标人承担。</w:t>
      </w:r>
    </w:p>
    <w:p>
      <w:pPr>
        <w:pStyle w:val="30"/>
        <w:rPr>
          <w:b/>
          <w:bCs/>
          <w:sz w:val="28"/>
          <w:szCs w:val="28"/>
        </w:rPr>
      </w:pPr>
      <w:bookmarkStart w:id="121" w:name="_Toc513029228"/>
      <w:bookmarkStart w:id="122" w:name="_Toc20823300"/>
      <w:bookmarkStart w:id="123" w:name="_Toc16938544"/>
      <w:r>
        <w:rPr>
          <w:rFonts w:hint="eastAsia"/>
          <w:b/>
          <w:bCs/>
          <w:sz w:val="28"/>
          <w:szCs w:val="28"/>
        </w:rPr>
        <w:t>21、投标文件的修改和撤回</w:t>
      </w:r>
      <w:bookmarkEnd w:id="121"/>
      <w:bookmarkEnd w:id="122"/>
      <w:bookmarkEnd w:id="123"/>
    </w:p>
    <w:p>
      <w:pPr>
        <w:pStyle w:val="30"/>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30"/>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30"/>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30"/>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30"/>
        <w:rPr>
          <w:b/>
          <w:sz w:val="28"/>
          <w:szCs w:val="28"/>
        </w:rPr>
      </w:pPr>
      <w:bookmarkStart w:id="124" w:name="_Toc513029229"/>
      <w:bookmarkStart w:id="125" w:name="_Toc120614218"/>
      <w:bookmarkStart w:id="126" w:name="_Toc517190886"/>
      <w:bookmarkStart w:id="127" w:name="_Toc20823301"/>
      <w:bookmarkStart w:id="128" w:name="_Toc16938545"/>
      <w:r>
        <w:rPr>
          <w:rFonts w:hint="eastAsia"/>
          <w:b/>
          <w:sz w:val="28"/>
          <w:szCs w:val="28"/>
        </w:rPr>
        <w:t>五、开标与评标</w:t>
      </w:r>
      <w:bookmarkEnd w:id="124"/>
      <w:bookmarkEnd w:id="125"/>
      <w:bookmarkEnd w:id="126"/>
      <w:bookmarkEnd w:id="127"/>
      <w:bookmarkEnd w:id="128"/>
    </w:p>
    <w:p>
      <w:pPr>
        <w:pStyle w:val="30"/>
        <w:rPr>
          <w:b/>
          <w:bCs/>
          <w:sz w:val="28"/>
          <w:szCs w:val="28"/>
        </w:rPr>
      </w:pPr>
      <w:bookmarkStart w:id="129" w:name="_Toc20823302"/>
      <w:bookmarkStart w:id="130" w:name="_Toc513029230"/>
      <w:bookmarkStart w:id="131" w:name="_Toc16938546"/>
      <w:r>
        <w:rPr>
          <w:rFonts w:hint="eastAsia"/>
          <w:b/>
          <w:bCs/>
          <w:sz w:val="28"/>
          <w:szCs w:val="28"/>
        </w:rPr>
        <w:t>22、开标</w:t>
      </w:r>
      <w:bookmarkEnd w:id="129"/>
      <w:bookmarkEnd w:id="130"/>
      <w:bookmarkEnd w:id="131"/>
    </w:p>
    <w:p>
      <w:pPr>
        <w:pStyle w:val="30"/>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30"/>
        <w:rPr>
          <w:bCs/>
          <w:sz w:val="28"/>
          <w:szCs w:val="28"/>
        </w:rPr>
      </w:pPr>
      <w:r>
        <w:rPr>
          <w:rFonts w:hint="eastAsia"/>
          <w:sz w:val="28"/>
          <w:szCs w:val="28"/>
        </w:rPr>
        <w:t>22.2</w:t>
      </w:r>
      <w:r>
        <w:rPr>
          <w:rFonts w:hint="eastAsia"/>
          <w:bCs/>
          <w:sz w:val="28"/>
          <w:szCs w:val="28"/>
        </w:rPr>
        <w:t>按照规定同意撤回的投标将不予开封。</w:t>
      </w:r>
    </w:p>
    <w:p>
      <w:pPr>
        <w:pStyle w:val="30"/>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30"/>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30"/>
        <w:rPr>
          <w:sz w:val="28"/>
          <w:szCs w:val="28"/>
        </w:rPr>
      </w:pPr>
      <w:r>
        <w:rPr>
          <w:sz w:val="28"/>
          <w:szCs w:val="28"/>
        </w:rPr>
        <w:t>2</w:t>
      </w:r>
      <w:r>
        <w:rPr>
          <w:rFonts w:hint="eastAsia"/>
          <w:sz w:val="28"/>
          <w:szCs w:val="28"/>
        </w:rPr>
        <w:t>2.5投标人在报价时不允许采用选择性报价，否则将被视为无效投标。</w:t>
      </w:r>
    </w:p>
    <w:p>
      <w:pPr>
        <w:pStyle w:val="30"/>
        <w:rPr>
          <w:bCs/>
          <w:sz w:val="28"/>
          <w:szCs w:val="28"/>
        </w:rPr>
      </w:pPr>
      <w:r>
        <w:rPr>
          <w:rFonts w:hint="eastAsia"/>
          <w:bCs/>
          <w:sz w:val="28"/>
          <w:szCs w:val="28"/>
        </w:rPr>
        <w:t>22.6投标截止时间结束后参加投标的供应商不足三家的，不得开标。</w:t>
      </w:r>
    </w:p>
    <w:p>
      <w:pPr>
        <w:pStyle w:val="30"/>
        <w:rPr>
          <w:b/>
          <w:bCs/>
          <w:sz w:val="28"/>
          <w:szCs w:val="28"/>
        </w:rPr>
      </w:pPr>
      <w:bookmarkStart w:id="132" w:name="_Toc20823303"/>
      <w:bookmarkStart w:id="133" w:name="_Toc513029231"/>
      <w:bookmarkStart w:id="134" w:name="_Toc16938547"/>
      <w:r>
        <w:rPr>
          <w:rFonts w:hint="eastAsia"/>
          <w:b/>
          <w:bCs/>
          <w:sz w:val="28"/>
          <w:szCs w:val="28"/>
        </w:rPr>
        <w:t>23、评标</w:t>
      </w:r>
    </w:p>
    <w:p>
      <w:pPr>
        <w:pStyle w:val="30"/>
        <w:rPr>
          <w:b/>
          <w:sz w:val="28"/>
          <w:szCs w:val="28"/>
        </w:rPr>
      </w:pPr>
      <w:r>
        <w:rPr>
          <w:rFonts w:hint="eastAsia"/>
          <w:sz w:val="28"/>
          <w:szCs w:val="28"/>
        </w:rPr>
        <w:t>23.1开标后，采购人将组织评标委员会（以下简称评委会）进行评标。</w:t>
      </w:r>
    </w:p>
    <w:p>
      <w:pPr>
        <w:pStyle w:val="30"/>
        <w:ind w:left="330" w:leftChars="150" w:firstLine="140" w:firstLineChars="50"/>
        <w:rPr>
          <w:sz w:val="28"/>
          <w:szCs w:val="28"/>
        </w:rPr>
      </w:pPr>
      <w:r>
        <w:rPr>
          <w:rFonts w:hint="eastAsia"/>
          <w:sz w:val="28"/>
          <w:szCs w:val="28"/>
        </w:rPr>
        <w:t>23.2评委会独立工作，负责评审所有投标文件并确定中标侯选人。</w:t>
      </w:r>
    </w:p>
    <w:p>
      <w:pPr>
        <w:pStyle w:val="30"/>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2"/>
    <w:bookmarkEnd w:id="133"/>
    <w:bookmarkEnd w:id="134"/>
    <w:p>
      <w:pPr>
        <w:pStyle w:val="30"/>
        <w:rPr>
          <w:b/>
          <w:bCs/>
          <w:sz w:val="28"/>
          <w:szCs w:val="28"/>
        </w:rPr>
      </w:pPr>
      <w:bookmarkStart w:id="135" w:name="_Toc513029232"/>
      <w:bookmarkStart w:id="136" w:name="_Toc16938548"/>
      <w:bookmarkStart w:id="137" w:name="_Toc20823304"/>
      <w:r>
        <w:rPr>
          <w:rFonts w:hint="eastAsia"/>
          <w:b/>
          <w:bCs/>
          <w:sz w:val="28"/>
          <w:szCs w:val="28"/>
        </w:rPr>
        <w:t>24．投标的澄清</w:t>
      </w:r>
      <w:bookmarkEnd w:id="135"/>
      <w:bookmarkEnd w:id="136"/>
      <w:bookmarkEnd w:id="137"/>
    </w:p>
    <w:p>
      <w:pPr>
        <w:pStyle w:val="30"/>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30"/>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30"/>
        <w:rPr>
          <w:sz w:val="28"/>
          <w:szCs w:val="28"/>
        </w:rPr>
      </w:pPr>
      <w:r>
        <w:rPr>
          <w:rFonts w:hint="eastAsia"/>
          <w:sz w:val="28"/>
          <w:szCs w:val="28"/>
        </w:rPr>
        <w:t>24.3 接到评委会澄清要求的投标人如未按规定做出澄清，后果由投标人自行承担。</w:t>
      </w:r>
    </w:p>
    <w:p>
      <w:pPr>
        <w:pStyle w:val="30"/>
        <w:rPr>
          <w:b/>
          <w:bCs/>
          <w:sz w:val="28"/>
          <w:szCs w:val="28"/>
        </w:rPr>
      </w:pPr>
      <w:bookmarkStart w:id="138" w:name="_Toc16938550"/>
      <w:bookmarkStart w:id="139" w:name="_Toc513029234"/>
      <w:bookmarkStart w:id="140" w:name="_Toc20823306"/>
      <w:r>
        <w:rPr>
          <w:rFonts w:hint="eastAsia"/>
          <w:b/>
          <w:bCs/>
          <w:sz w:val="28"/>
          <w:szCs w:val="28"/>
        </w:rPr>
        <w:t>25、</w:t>
      </w:r>
      <w:bookmarkEnd w:id="138"/>
      <w:bookmarkEnd w:id="139"/>
      <w:bookmarkEnd w:id="140"/>
      <w:r>
        <w:rPr>
          <w:rFonts w:hint="eastAsia"/>
          <w:b/>
          <w:bCs/>
          <w:sz w:val="28"/>
          <w:szCs w:val="28"/>
        </w:rPr>
        <w:t>无效投标条款和废标条款</w:t>
      </w:r>
    </w:p>
    <w:p>
      <w:pPr>
        <w:pStyle w:val="30"/>
        <w:rPr>
          <w:bCs/>
          <w:sz w:val="28"/>
          <w:szCs w:val="28"/>
        </w:rPr>
      </w:pPr>
      <w:bookmarkStart w:id="141" w:name="_Toc20823307"/>
      <w:bookmarkStart w:id="142" w:name="_Toc513029235"/>
      <w:bookmarkStart w:id="143" w:name="_Toc16938551"/>
      <w:r>
        <w:rPr>
          <w:rFonts w:hint="eastAsia"/>
          <w:bCs/>
          <w:sz w:val="28"/>
          <w:szCs w:val="28"/>
        </w:rPr>
        <w:t>25.1无效投标条款</w:t>
      </w:r>
    </w:p>
    <w:p>
      <w:pPr>
        <w:pStyle w:val="30"/>
        <w:rPr>
          <w:bCs/>
          <w:sz w:val="28"/>
          <w:szCs w:val="28"/>
        </w:rPr>
      </w:pPr>
      <w:r>
        <w:rPr>
          <w:rFonts w:hint="eastAsia"/>
          <w:bCs/>
          <w:sz w:val="28"/>
          <w:szCs w:val="28"/>
        </w:rPr>
        <w:t>（1）未按要求交纳投标保证金的。</w:t>
      </w:r>
    </w:p>
    <w:p>
      <w:pPr>
        <w:pStyle w:val="30"/>
        <w:rPr>
          <w:bCs/>
          <w:sz w:val="28"/>
          <w:szCs w:val="28"/>
        </w:rPr>
      </w:pPr>
      <w:r>
        <w:rPr>
          <w:rFonts w:hint="eastAsia"/>
          <w:bCs/>
          <w:sz w:val="28"/>
          <w:szCs w:val="28"/>
        </w:rPr>
        <w:t>（2）未按照招标文件规定要求密封、签署、盖章的。</w:t>
      </w:r>
    </w:p>
    <w:p>
      <w:pPr>
        <w:pStyle w:val="30"/>
        <w:rPr>
          <w:bCs/>
          <w:sz w:val="28"/>
          <w:szCs w:val="28"/>
        </w:rPr>
      </w:pPr>
      <w:r>
        <w:rPr>
          <w:rFonts w:hint="eastAsia"/>
          <w:bCs/>
          <w:sz w:val="28"/>
          <w:szCs w:val="28"/>
        </w:rPr>
        <w:t>（3）投标人在报价时采用选择性报价的。</w:t>
      </w:r>
    </w:p>
    <w:p>
      <w:pPr>
        <w:pStyle w:val="30"/>
        <w:rPr>
          <w:bCs/>
          <w:sz w:val="28"/>
          <w:szCs w:val="28"/>
        </w:rPr>
      </w:pPr>
      <w:r>
        <w:rPr>
          <w:rFonts w:hint="eastAsia"/>
          <w:bCs/>
          <w:sz w:val="28"/>
          <w:szCs w:val="28"/>
        </w:rPr>
        <w:t>（4）投标人不具备招标文件中规定资格要求的。</w:t>
      </w:r>
    </w:p>
    <w:p>
      <w:pPr>
        <w:pStyle w:val="30"/>
        <w:rPr>
          <w:bCs/>
          <w:sz w:val="28"/>
          <w:szCs w:val="28"/>
        </w:rPr>
      </w:pPr>
      <w:r>
        <w:rPr>
          <w:rFonts w:hint="eastAsia"/>
          <w:bCs/>
          <w:sz w:val="28"/>
          <w:szCs w:val="28"/>
        </w:rPr>
        <w:t>（5）投标人的报价超过了采购预算或最高限价的。</w:t>
      </w:r>
    </w:p>
    <w:p>
      <w:pPr>
        <w:pStyle w:val="30"/>
        <w:rPr>
          <w:bCs/>
          <w:i/>
          <w:sz w:val="28"/>
          <w:szCs w:val="28"/>
          <w:u w:val="single"/>
        </w:rPr>
      </w:pPr>
      <w:r>
        <w:rPr>
          <w:rFonts w:hint="eastAsia"/>
          <w:bCs/>
          <w:sz w:val="28"/>
          <w:szCs w:val="28"/>
        </w:rPr>
        <w:t>（6）未通过符合性检查的。</w:t>
      </w:r>
    </w:p>
    <w:p>
      <w:pPr>
        <w:pStyle w:val="30"/>
        <w:rPr>
          <w:bCs/>
          <w:i/>
          <w:sz w:val="28"/>
          <w:szCs w:val="28"/>
          <w:u w:val="single"/>
        </w:rPr>
      </w:pPr>
      <w:r>
        <w:rPr>
          <w:rFonts w:hint="eastAsia"/>
          <w:bCs/>
          <w:sz w:val="28"/>
          <w:szCs w:val="28"/>
        </w:rPr>
        <w:t>（7）不符合招标文件中规定的其他实质性要求和条件的。</w:t>
      </w:r>
    </w:p>
    <w:p>
      <w:pPr>
        <w:pStyle w:val="30"/>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30"/>
        <w:rPr>
          <w:bCs/>
          <w:sz w:val="28"/>
          <w:szCs w:val="28"/>
        </w:rPr>
      </w:pPr>
      <w:r>
        <w:rPr>
          <w:rFonts w:hint="eastAsia"/>
          <w:bCs/>
          <w:sz w:val="28"/>
          <w:szCs w:val="28"/>
        </w:rPr>
        <w:t>（9）投标文件含有采购人不能接受的附加条件的。</w:t>
      </w:r>
    </w:p>
    <w:p>
      <w:pPr>
        <w:pStyle w:val="30"/>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30"/>
        <w:rPr>
          <w:bCs/>
          <w:sz w:val="28"/>
          <w:szCs w:val="28"/>
        </w:rPr>
      </w:pPr>
      <w:r>
        <w:rPr>
          <w:rFonts w:hint="eastAsia"/>
          <w:bCs/>
          <w:sz w:val="28"/>
          <w:szCs w:val="28"/>
        </w:rPr>
        <w:t>（11）其他法律、法规及本招标文件规定的属无效投标的情形。</w:t>
      </w:r>
    </w:p>
    <w:p>
      <w:pPr>
        <w:pStyle w:val="30"/>
        <w:rPr>
          <w:bCs/>
          <w:sz w:val="28"/>
          <w:szCs w:val="28"/>
        </w:rPr>
      </w:pPr>
      <w:r>
        <w:rPr>
          <w:rFonts w:hint="eastAsia"/>
          <w:bCs/>
          <w:sz w:val="28"/>
          <w:szCs w:val="28"/>
        </w:rPr>
        <w:t>25.2废标条款：</w:t>
      </w:r>
    </w:p>
    <w:p>
      <w:pPr>
        <w:pStyle w:val="30"/>
        <w:rPr>
          <w:bCs/>
          <w:sz w:val="28"/>
          <w:szCs w:val="28"/>
        </w:rPr>
      </w:pPr>
      <w:r>
        <w:rPr>
          <w:rFonts w:hint="eastAsia"/>
          <w:bCs/>
          <w:sz w:val="28"/>
          <w:szCs w:val="28"/>
        </w:rPr>
        <w:t>（1）符合专业条件的供应商或者对招标文件作实质响应的供应商不足三家的。</w:t>
      </w:r>
    </w:p>
    <w:p>
      <w:pPr>
        <w:pStyle w:val="30"/>
        <w:rPr>
          <w:bCs/>
          <w:sz w:val="28"/>
          <w:szCs w:val="28"/>
        </w:rPr>
      </w:pPr>
      <w:r>
        <w:rPr>
          <w:rFonts w:hint="eastAsia"/>
          <w:bCs/>
          <w:sz w:val="28"/>
          <w:szCs w:val="28"/>
        </w:rPr>
        <w:t>（2）出现影响采购公正的违法、违规行为的。</w:t>
      </w:r>
    </w:p>
    <w:p>
      <w:pPr>
        <w:pStyle w:val="30"/>
        <w:rPr>
          <w:bCs/>
          <w:sz w:val="28"/>
          <w:szCs w:val="28"/>
        </w:rPr>
      </w:pPr>
      <w:r>
        <w:rPr>
          <w:rFonts w:hint="eastAsia"/>
          <w:bCs/>
          <w:sz w:val="28"/>
          <w:szCs w:val="28"/>
        </w:rPr>
        <w:t>（3）因重大变故，采购任务取消的。</w:t>
      </w:r>
    </w:p>
    <w:p>
      <w:pPr>
        <w:pStyle w:val="30"/>
        <w:rPr>
          <w:bCs/>
          <w:sz w:val="28"/>
          <w:szCs w:val="28"/>
        </w:rPr>
      </w:pPr>
      <w:r>
        <w:rPr>
          <w:rFonts w:hint="eastAsia"/>
          <w:bCs/>
          <w:sz w:val="28"/>
          <w:szCs w:val="28"/>
        </w:rPr>
        <w:t>（4）评标委员会认定招标文件存在歧义、重大缺陷导致评审工作无法进行的。</w:t>
      </w:r>
    </w:p>
    <w:p>
      <w:pPr>
        <w:pStyle w:val="30"/>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pPr>
        <w:pStyle w:val="30"/>
        <w:rPr>
          <w:b/>
          <w:sz w:val="28"/>
          <w:szCs w:val="28"/>
        </w:rPr>
      </w:pPr>
      <w:bookmarkStart w:id="146" w:name="_Toc513029238"/>
      <w:bookmarkStart w:id="147" w:name="_Toc20823310"/>
      <w:bookmarkStart w:id="148" w:name="_Toc16938554"/>
      <w:r>
        <w:rPr>
          <w:rFonts w:hint="eastAsia"/>
          <w:b/>
          <w:sz w:val="28"/>
          <w:szCs w:val="28"/>
        </w:rPr>
        <w:t>26、</w:t>
      </w:r>
      <w:bookmarkEnd w:id="146"/>
      <w:r>
        <w:rPr>
          <w:rFonts w:hint="eastAsia"/>
          <w:b/>
          <w:sz w:val="28"/>
          <w:szCs w:val="28"/>
        </w:rPr>
        <w:t>确定</w:t>
      </w:r>
      <w:bookmarkEnd w:id="147"/>
      <w:bookmarkEnd w:id="148"/>
      <w:r>
        <w:rPr>
          <w:rFonts w:hint="eastAsia"/>
          <w:b/>
          <w:sz w:val="28"/>
          <w:szCs w:val="28"/>
        </w:rPr>
        <w:t>中标单位</w:t>
      </w:r>
    </w:p>
    <w:p>
      <w:pPr>
        <w:pStyle w:val="30"/>
        <w:rPr>
          <w:bCs/>
          <w:sz w:val="28"/>
          <w:szCs w:val="28"/>
        </w:rPr>
      </w:pPr>
      <w:r>
        <w:rPr>
          <w:rFonts w:hint="eastAsia"/>
          <w:bCs/>
          <w:sz w:val="28"/>
          <w:szCs w:val="28"/>
        </w:rPr>
        <w:t>26.1评委会根据本招标文件规定评分办法与评分标准确定中标人；</w:t>
      </w:r>
    </w:p>
    <w:p>
      <w:pPr>
        <w:pStyle w:val="30"/>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30"/>
        <w:rPr>
          <w:sz w:val="28"/>
          <w:szCs w:val="28"/>
        </w:rPr>
      </w:pPr>
      <w:r>
        <w:rPr>
          <w:rFonts w:hint="eastAsia"/>
          <w:sz w:val="28"/>
          <w:szCs w:val="28"/>
        </w:rPr>
        <w:t>2</w:t>
      </w:r>
      <w:bookmarkStart w:id="149" w:name="OLE_LINK6"/>
      <w:bookmarkStart w:id="150" w:name="OLE_LINK4"/>
      <w:bookmarkStart w:id="151" w:name="OLE_LINK8"/>
      <w:bookmarkStart w:id="152" w:name="OLE_LINK3"/>
      <w:bookmarkStart w:id="153" w:name="OLE_LINK7"/>
      <w:bookmarkStart w:id="154" w:name="OLE_LINK5"/>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pPr>
        <w:pStyle w:val="30"/>
        <w:rPr>
          <w:sz w:val="28"/>
          <w:szCs w:val="28"/>
        </w:rPr>
      </w:pPr>
      <w:r>
        <w:rPr>
          <w:rFonts w:hint="eastAsia"/>
          <w:sz w:val="28"/>
          <w:szCs w:val="28"/>
        </w:rPr>
        <w:t>（1）提供虚假材料谋取中标的；</w:t>
      </w:r>
    </w:p>
    <w:p>
      <w:pPr>
        <w:pStyle w:val="30"/>
        <w:rPr>
          <w:sz w:val="28"/>
          <w:szCs w:val="28"/>
        </w:rPr>
      </w:pPr>
      <w:r>
        <w:rPr>
          <w:rFonts w:hint="eastAsia"/>
          <w:sz w:val="28"/>
          <w:szCs w:val="28"/>
        </w:rPr>
        <w:t>（2）向采购人、评审专家行贿或者提供其他不正当利益的；</w:t>
      </w:r>
    </w:p>
    <w:p>
      <w:pPr>
        <w:pStyle w:val="30"/>
        <w:rPr>
          <w:sz w:val="28"/>
          <w:szCs w:val="28"/>
        </w:rPr>
      </w:pPr>
      <w:r>
        <w:rPr>
          <w:rFonts w:hint="eastAsia"/>
          <w:sz w:val="28"/>
          <w:szCs w:val="28"/>
        </w:rPr>
        <w:t>（3）恶意竞争，投标总报价明显低于其自身合理成本且又无法提供证明的；</w:t>
      </w:r>
    </w:p>
    <w:p>
      <w:pPr>
        <w:pStyle w:val="30"/>
        <w:rPr>
          <w:sz w:val="28"/>
          <w:szCs w:val="28"/>
        </w:rPr>
      </w:pPr>
      <w:r>
        <w:rPr>
          <w:rFonts w:hint="eastAsia"/>
          <w:sz w:val="28"/>
          <w:szCs w:val="28"/>
        </w:rPr>
        <w:t>（4）属于本文件规定的无效条件，但在评标过程中又未被评委会发现的；</w:t>
      </w:r>
    </w:p>
    <w:p>
      <w:pPr>
        <w:pStyle w:val="30"/>
        <w:rPr>
          <w:sz w:val="28"/>
          <w:szCs w:val="28"/>
        </w:rPr>
      </w:pPr>
      <w:r>
        <w:rPr>
          <w:rFonts w:hint="eastAsia"/>
          <w:sz w:val="28"/>
          <w:szCs w:val="28"/>
        </w:rPr>
        <w:t>（5）与采购人或者其他供应商恶意串通的；</w:t>
      </w:r>
    </w:p>
    <w:p>
      <w:pPr>
        <w:pStyle w:val="30"/>
        <w:rPr>
          <w:sz w:val="28"/>
          <w:szCs w:val="28"/>
        </w:rPr>
      </w:pPr>
      <w:r>
        <w:rPr>
          <w:rFonts w:hint="eastAsia"/>
          <w:sz w:val="28"/>
          <w:szCs w:val="28"/>
        </w:rPr>
        <w:t>（6）采取不正当手段诋毁、排挤其他供应商的；</w:t>
      </w:r>
    </w:p>
    <w:p>
      <w:pPr>
        <w:pStyle w:val="30"/>
        <w:rPr>
          <w:sz w:val="28"/>
          <w:szCs w:val="28"/>
        </w:rPr>
      </w:pPr>
      <w:r>
        <w:rPr>
          <w:rFonts w:hint="eastAsia"/>
          <w:sz w:val="28"/>
          <w:szCs w:val="28"/>
        </w:rPr>
        <w:t>（7）不符合法律、法规的规定的。</w:t>
      </w:r>
      <w:bookmarkStart w:id="155" w:name="_Toc200451960"/>
    </w:p>
    <w:p>
      <w:pPr>
        <w:pStyle w:val="30"/>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30"/>
        <w:rPr>
          <w:sz w:val="28"/>
          <w:szCs w:val="28"/>
        </w:rPr>
      </w:pPr>
      <w:r>
        <w:rPr>
          <w:rFonts w:hint="eastAsia"/>
          <w:sz w:val="28"/>
          <w:szCs w:val="28"/>
        </w:rPr>
        <w:t>（1）不同投标人的投标文件由同一单位或者个人编制；</w:t>
      </w:r>
    </w:p>
    <w:p>
      <w:pPr>
        <w:pStyle w:val="30"/>
        <w:rPr>
          <w:sz w:val="28"/>
          <w:szCs w:val="28"/>
        </w:rPr>
      </w:pPr>
      <w:r>
        <w:rPr>
          <w:rFonts w:hint="eastAsia"/>
          <w:sz w:val="28"/>
          <w:szCs w:val="28"/>
        </w:rPr>
        <w:t>（2）不同投标人委托同一单位或者个人办理投标事宜；</w:t>
      </w:r>
    </w:p>
    <w:p>
      <w:pPr>
        <w:pStyle w:val="30"/>
        <w:rPr>
          <w:sz w:val="28"/>
          <w:szCs w:val="28"/>
        </w:rPr>
      </w:pPr>
      <w:r>
        <w:rPr>
          <w:rFonts w:hint="eastAsia"/>
          <w:sz w:val="28"/>
          <w:szCs w:val="28"/>
        </w:rPr>
        <w:t>（3）不同投标人的投标文件载明的项目管理成员或者联系人员为同一人；</w:t>
      </w:r>
    </w:p>
    <w:p>
      <w:pPr>
        <w:pStyle w:val="30"/>
        <w:rPr>
          <w:sz w:val="28"/>
          <w:szCs w:val="28"/>
        </w:rPr>
      </w:pPr>
      <w:r>
        <w:rPr>
          <w:rFonts w:hint="eastAsia"/>
          <w:sz w:val="28"/>
          <w:szCs w:val="28"/>
        </w:rPr>
        <w:t>（4）不同投标人的投标文件异常一致或者投标报价呈规律性差异；</w:t>
      </w:r>
    </w:p>
    <w:p>
      <w:pPr>
        <w:pStyle w:val="30"/>
        <w:rPr>
          <w:sz w:val="28"/>
          <w:szCs w:val="28"/>
        </w:rPr>
      </w:pPr>
      <w:r>
        <w:rPr>
          <w:rFonts w:hint="eastAsia"/>
          <w:sz w:val="28"/>
          <w:szCs w:val="28"/>
        </w:rPr>
        <w:t>（5）不同投标人的投标文件相互混装；</w:t>
      </w:r>
    </w:p>
    <w:p>
      <w:pPr>
        <w:pStyle w:val="30"/>
        <w:rPr>
          <w:sz w:val="28"/>
          <w:szCs w:val="28"/>
        </w:rPr>
      </w:pPr>
      <w:r>
        <w:rPr>
          <w:rFonts w:hint="eastAsia"/>
          <w:sz w:val="28"/>
          <w:szCs w:val="28"/>
        </w:rPr>
        <w:t>（6）不同投标人的投标保证金从同一单位或者个人的账户转出。</w:t>
      </w:r>
    </w:p>
    <w:p>
      <w:pPr>
        <w:pStyle w:val="30"/>
        <w:rPr>
          <w:b/>
          <w:sz w:val="28"/>
          <w:szCs w:val="28"/>
        </w:rPr>
      </w:pPr>
      <w:r>
        <w:rPr>
          <w:rFonts w:hint="eastAsia"/>
          <w:b/>
          <w:sz w:val="28"/>
          <w:szCs w:val="28"/>
        </w:rPr>
        <w:t>27、质疑处理</w:t>
      </w:r>
      <w:bookmarkEnd w:id="155"/>
    </w:p>
    <w:p>
      <w:pPr>
        <w:pStyle w:val="30"/>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30"/>
        <w:rPr>
          <w:b/>
          <w:sz w:val="28"/>
          <w:szCs w:val="28"/>
        </w:rPr>
      </w:pPr>
      <w:r>
        <w:rPr>
          <w:rFonts w:hint="eastAsia"/>
          <w:b/>
          <w:sz w:val="28"/>
          <w:szCs w:val="28"/>
        </w:rPr>
        <w:t>28、中标通知书</w:t>
      </w:r>
    </w:p>
    <w:p>
      <w:pPr>
        <w:pStyle w:val="30"/>
        <w:rPr>
          <w:sz w:val="28"/>
          <w:szCs w:val="28"/>
        </w:rPr>
      </w:pPr>
      <w:r>
        <w:rPr>
          <w:rFonts w:hint="eastAsia"/>
          <w:sz w:val="28"/>
          <w:szCs w:val="28"/>
        </w:rPr>
        <w:t>28.1中标结果确定后，采购人将向中标供应商发出中标通知书。</w:t>
      </w:r>
    </w:p>
    <w:p>
      <w:pPr>
        <w:pStyle w:val="30"/>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30"/>
        <w:rPr>
          <w:b/>
          <w:sz w:val="28"/>
          <w:szCs w:val="28"/>
        </w:rPr>
      </w:pPr>
      <w:bookmarkStart w:id="156" w:name="_Toc517190888"/>
      <w:bookmarkStart w:id="157" w:name="_Toc120614220"/>
      <w:bookmarkStart w:id="158" w:name="_Toc20823308"/>
      <w:bookmarkStart w:id="159" w:name="_Toc513029236"/>
      <w:bookmarkStart w:id="160" w:name="_Toc16938552"/>
      <w:r>
        <w:rPr>
          <w:rFonts w:hint="eastAsia"/>
          <w:b/>
          <w:sz w:val="28"/>
          <w:szCs w:val="28"/>
        </w:rPr>
        <w:t>七、授予合同</w:t>
      </w:r>
      <w:bookmarkEnd w:id="156"/>
      <w:bookmarkEnd w:id="157"/>
    </w:p>
    <w:bookmarkEnd w:id="158"/>
    <w:bookmarkEnd w:id="159"/>
    <w:bookmarkEnd w:id="160"/>
    <w:p>
      <w:pPr>
        <w:pStyle w:val="30"/>
        <w:rPr>
          <w:b/>
          <w:sz w:val="28"/>
          <w:szCs w:val="28"/>
        </w:rPr>
      </w:pPr>
      <w:bookmarkStart w:id="161" w:name="_Toc513029237"/>
      <w:bookmarkStart w:id="162" w:name="_Toc20823309"/>
      <w:bookmarkStart w:id="163" w:name="_Toc16938553"/>
      <w:r>
        <w:rPr>
          <w:rFonts w:hint="eastAsia"/>
          <w:b/>
          <w:sz w:val="28"/>
          <w:szCs w:val="28"/>
        </w:rPr>
        <w:t>29. 签订合同</w:t>
      </w:r>
    </w:p>
    <w:p>
      <w:pPr>
        <w:pStyle w:val="30"/>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30"/>
        <w:rPr>
          <w:sz w:val="28"/>
          <w:szCs w:val="28"/>
        </w:rPr>
      </w:pPr>
      <w:r>
        <w:rPr>
          <w:rFonts w:hint="eastAsia"/>
          <w:sz w:val="28"/>
          <w:szCs w:val="28"/>
        </w:rPr>
        <w:t>29.2招标文件、中标人的投标文件及招标过程中有关澄清、承诺文件均应作为合同附件。</w:t>
      </w:r>
    </w:p>
    <w:p>
      <w:pPr>
        <w:pStyle w:val="30"/>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30"/>
        <w:rPr>
          <w:b/>
          <w:sz w:val="28"/>
          <w:szCs w:val="28"/>
        </w:rPr>
      </w:pPr>
      <w:bookmarkStart w:id="164" w:name="_Toc517190889"/>
      <w:r>
        <w:rPr>
          <w:rFonts w:hint="eastAsia"/>
          <w:b/>
          <w:sz w:val="28"/>
          <w:szCs w:val="28"/>
        </w:rPr>
        <w:t>八、其他</w:t>
      </w:r>
      <w:bookmarkEnd w:id="164"/>
    </w:p>
    <w:p>
      <w:pPr>
        <w:pStyle w:val="30"/>
        <w:rPr>
          <w:b/>
          <w:sz w:val="28"/>
          <w:szCs w:val="28"/>
        </w:rPr>
      </w:pPr>
      <w:r>
        <w:rPr>
          <w:rFonts w:hint="eastAsia"/>
          <w:b/>
          <w:sz w:val="28"/>
          <w:szCs w:val="28"/>
        </w:rPr>
        <w:t>30、样品</w:t>
      </w:r>
    </w:p>
    <w:p>
      <w:pPr>
        <w:pStyle w:val="30"/>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30"/>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imes New Roman" w:hAnsi="宋体" w:cs="宋体"/>
          <w:b/>
        </w:rPr>
      </w:pPr>
      <w:bookmarkStart w:id="165" w:name="_Toc523931347"/>
      <w:r>
        <w:rPr>
          <w:rFonts w:hint="eastAsia" w:asciiTheme="minorEastAsia" w:hAnsiTheme="minorEastAsia" w:eastAsiaTheme="minorEastAsia"/>
          <w:b/>
          <w:sz w:val="44"/>
          <w:szCs w:val="44"/>
        </w:rPr>
        <w:t>第三章   项目需求</w:t>
      </w:r>
      <w:bookmarkEnd w:id="165"/>
    </w:p>
    <w:p>
      <w:pPr>
        <w:pStyle w:val="16"/>
        <w:numPr>
          <w:ilvl w:val="0"/>
          <w:numId w:val="4"/>
        </w:numPr>
        <w:spacing w:line="0" w:lineRule="atLeas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项目总体需求：</w:t>
      </w:r>
    </w:p>
    <w:p>
      <w:pPr>
        <w:spacing w:beforeLines="50" w:afterLines="50" w:line="360" w:lineRule="auto"/>
        <w:ind w:left="36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南京医科大学五台校区2号楼4间PBL教室相关系统及设备建设。</w:t>
      </w:r>
    </w:p>
    <w:p>
      <w:pPr>
        <w:pStyle w:val="36"/>
        <w:spacing w:line="360" w:lineRule="auto"/>
        <w:ind w:firstLine="56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二、</w:t>
      </w:r>
      <w:r>
        <w:rPr>
          <w:rFonts w:hint="eastAsia" w:asciiTheme="minorEastAsia" w:hAnsiTheme="minorEastAsia" w:eastAsiaTheme="minorEastAsia" w:cstheme="minorEastAsia"/>
          <w:b/>
          <w:bCs/>
          <w:kern w:val="2"/>
          <w:sz w:val="28"/>
          <w:szCs w:val="28"/>
        </w:rPr>
        <w:t>项目简介及意义</w:t>
      </w:r>
    </w:p>
    <w:p>
      <w:pPr>
        <w:spacing w:line="360" w:lineRule="auto"/>
        <w:ind w:firstLine="560" w:firstLineChars="20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随着信息化技术在教育领域的不断深化，人工智能（AI）、云计算、大数据、物联网等技术已经成为教育变革的主要技术推动力量，传统的多媒体课堂及其装备已经无法满足当前教育发展的需求，借助新兴技术构建智慧课堂将成为未来教育的核心组成部分。</w:t>
      </w:r>
    </w:p>
    <w:p>
      <w:pPr>
        <w:spacing w:line="360" w:lineRule="auto"/>
        <w:ind w:firstLine="560" w:firstLineChars="20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结合我校现有多媒体教学基础条件、教学活动参与者的需求与感受，找准学校智慧教室建设的着眼点,实现智能应用多元化、演示手段多样化、教学资源便捷化，增加互动、讨论等多方面的教学新模式。</w:t>
      </w:r>
    </w:p>
    <w:p>
      <w:pPr>
        <w:spacing w:beforeLines="50" w:afterLines="50" w:line="360" w:lineRule="auto"/>
        <w:ind w:firstLine="560" w:firstLineChars="200"/>
        <w:rPr>
          <w:rFonts w:asciiTheme="minorEastAsia" w:hAnsiTheme="minorEastAsia" w:eastAsiaTheme="minorEastAsia" w:cstheme="minorEastAsia"/>
          <w:b/>
          <w:bCs/>
          <w:kern w:val="2"/>
          <w:sz w:val="28"/>
          <w:szCs w:val="28"/>
        </w:rPr>
      </w:pPr>
      <w:r>
        <w:rPr>
          <w:rFonts w:hint="eastAsia" w:asciiTheme="minorEastAsia" w:hAnsiTheme="minorEastAsia" w:eastAsiaTheme="minorEastAsia" w:cstheme="minorEastAsia"/>
          <w:b/>
          <w:bCs/>
          <w:kern w:val="2"/>
          <w:sz w:val="28"/>
          <w:szCs w:val="28"/>
        </w:rPr>
        <w:t>三、项目建设目标：</w:t>
      </w:r>
    </w:p>
    <w:p>
      <w:pPr>
        <w:spacing w:line="360" w:lineRule="auto"/>
        <w:ind w:left="360" w:firstLine="420" w:firstLineChars="15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为了更好的遵循“以人为本”、“以学生为中心”的理念。主要为三个方面的转变目标：一是让学者在学习过程中的地位由被动转变为主动；二是学习过程由以记忆为主的知识掌握转变为以发现为主的知识建构；三是知识的获得由个人的、机械的记忆转变为社会的、互动的、体验的过程。信息时代的学习环境要适应这些转变，使“以人为本”和“以学生为中心”的理念贯彻于教室的设计之中。给老师创造双画面教学场景，给学生增加小组讨论、互动教学空间。</w:t>
      </w:r>
    </w:p>
    <w:p>
      <w:pPr>
        <w:spacing w:beforeLines="50" w:afterLines="50" w:line="360" w:lineRule="auto"/>
        <w:ind w:firstLine="840" w:firstLineChars="300"/>
        <w:rPr>
          <w:rFonts w:asciiTheme="minorEastAsia" w:hAnsiTheme="minorEastAsia" w:eastAsiaTheme="minorEastAsia" w:cstheme="minorEastAsia"/>
          <w:b/>
          <w:bCs/>
          <w:kern w:val="2"/>
          <w:sz w:val="28"/>
          <w:szCs w:val="28"/>
        </w:rPr>
      </w:pPr>
      <w:r>
        <w:rPr>
          <w:rFonts w:hint="eastAsia" w:asciiTheme="minorEastAsia" w:hAnsiTheme="minorEastAsia" w:eastAsiaTheme="minorEastAsia" w:cstheme="minorEastAsia"/>
          <w:b/>
          <w:bCs/>
          <w:kern w:val="2"/>
          <w:sz w:val="28"/>
          <w:szCs w:val="28"/>
        </w:rPr>
        <w:t>四、项目建设要求：</w:t>
      </w:r>
    </w:p>
    <w:p>
      <w:pPr>
        <w:numPr>
          <w:ilvl w:val="0"/>
          <w:numId w:val="5"/>
        </w:numPr>
        <w:spacing w:line="360" w:lineRule="auto"/>
        <w:ind w:left="709" w:hanging="425"/>
        <w:contextualSpacing/>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设备需与学校现有PBL教室多媒体教学系统管控平台融合，无缝对接统一管理。</w:t>
      </w:r>
    </w:p>
    <w:p>
      <w:pPr>
        <w:numPr>
          <w:ilvl w:val="0"/>
          <w:numId w:val="6"/>
        </w:numPr>
        <w:spacing w:line="360" w:lineRule="auto"/>
        <w:ind w:left="709" w:hanging="425"/>
        <w:contextualSpacing/>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本地控制：教室内设备集中统一控制，如“一键上下课”、“刷卡”、“扫码”；</w:t>
      </w:r>
    </w:p>
    <w:p>
      <w:pPr>
        <w:numPr>
          <w:ilvl w:val="0"/>
          <w:numId w:val="5"/>
        </w:numPr>
        <w:spacing w:line="360" w:lineRule="auto"/>
        <w:ind w:left="709" w:hanging="425"/>
        <w:contextualSpacing/>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远程控制：通过客户端、网页、移动端等方式对设备进行管控；</w:t>
      </w:r>
    </w:p>
    <w:p>
      <w:pPr>
        <w:numPr>
          <w:ilvl w:val="0"/>
          <w:numId w:val="5"/>
        </w:numPr>
        <w:spacing w:line="360" w:lineRule="auto"/>
        <w:ind w:left="709" w:hanging="425"/>
        <w:contextualSpacing/>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具有无线传屏功能，支持IOS与安卓系统的手机、平板无线传屏，笔记本可通过传屏器一键传屏。</w:t>
      </w:r>
    </w:p>
    <w:p>
      <w:pPr>
        <w:numPr>
          <w:ilvl w:val="0"/>
          <w:numId w:val="5"/>
        </w:numPr>
        <w:spacing w:line="360" w:lineRule="auto"/>
        <w:ind w:left="709" w:hanging="425"/>
        <w:contextualSpacing/>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通过传屏器可实现双向操作，通过大屏可以反向对电脑进行控制；</w:t>
      </w:r>
    </w:p>
    <w:p>
      <w:pPr>
        <w:numPr>
          <w:ilvl w:val="0"/>
          <w:numId w:val="6"/>
        </w:numPr>
        <w:spacing w:line="360" w:lineRule="auto"/>
        <w:ind w:left="709" w:hanging="425"/>
        <w:contextualSpacing/>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双画面显示，分屏功能允许同时将两个信号源投影在屏幕上；</w:t>
      </w:r>
    </w:p>
    <w:p>
      <w:pPr>
        <w:numPr>
          <w:ilvl w:val="0"/>
          <w:numId w:val="6"/>
        </w:numPr>
        <w:spacing w:line="360" w:lineRule="auto"/>
        <w:ind w:left="709" w:hanging="425"/>
        <w:contextualSpacing/>
        <w:rPr>
          <w:rFonts w:asciiTheme="minorEastAsia" w:hAnsiTheme="minorEastAsia" w:eastAsiaTheme="minorEastAsia" w:cstheme="minorEastAsia"/>
          <w:kern w:val="2"/>
          <w:sz w:val="28"/>
          <w:szCs w:val="28"/>
        </w:rPr>
        <w:sectPr>
          <w:footerReference r:id="rId3" w:type="default"/>
          <w:pgSz w:w="11906" w:h="16838"/>
          <w:pgMar w:top="1440" w:right="1797" w:bottom="1440" w:left="1797" w:header="851" w:footer="992" w:gutter="0"/>
          <w:pgNumType w:start="0"/>
          <w:cols w:space="720" w:num="1"/>
          <w:titlePg/>
          <w:docGrid w:type="linesAndChars" w:linePitch="312" w:charSpace="0"/>
        </w:sectPr>
      </w:pPr>
      <w:r>
        <w:rPr>
          <w:rFonts w:hint="eastAsia" w:asciiTheme="minorEastAsia" w:hAnsiTheme="minorEastAsia" w:eastAsiaTheme="minorEastAsia" w:cstheme="minorEastAsia"/>
          <w:kern w:val="2"/>
          <w:sz w:val="28"/>
          <w:szCs w:val="28"/>
        </w:rPr>
        <w:t>预留常态化高清录播设备相应线路及接口，如有需要可直接加装高清摄像机。</w:t>
      </w:r>
    </w:p>
    <w:p>
      <w:pPr>
        <w:pStyle w:val="36"/>
        <w:spacing w:line="360" w:lineRule="auto"/>
        <w:ind w:firstLine="140" w:firstLineChars="5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5、PBL教室设备清单及技术参数：</w:t>
      </w:r>
    </w:p>
    <w:tbl>
      <w:tblPr>
        <w:tblStyle w:val="19"/>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
        <w:gridCol w:w="2146"/>
        <w:gridCol w:w="5266"/>
        <w:gridCol w:w="436"/>
        <w:gridCol w:w="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436" w:type="dxa"/>
            <w:vAlign w:val="center"/>
          </w:tcPr>
          <w:p>
            <w:pPr>
              <w:jc w:val="center"/>
              <w:rPr>
                <w:rFonts w:ascii="黑体" w:hAnsi="黑体" w:eastAsia="黑体" w:cs="宋体"/>
              </w:rPr>
            </w:pPr>
            <w:r>
              <w:rPr>
                <w:rFonts w:hint="eastAsia" w:ascii="黑体" w:hAnsi="黑体" w:eastAsia="黑体" w:cs="宋体"/>
              </w:rPr>
              <w:t>序号</w:t>
            </w:r>
          </w:p>
        </w:tc>
        <w:tc>
          <w:tcPr>
            <w:tcW w:w="2146" w:type="dxa"/>
            <w:vAlign w:val="center"/>
          </w:tcPr>
          <w:p>
            <w:pPr>
              <w:jc w:val="center"/>
              <w:rPr>
                <w:rFonts w:ascii="黑体" w:hAnsi="黑体" w:eastAsia="黑体" w:cs="宋体"/>
              </w:rPr>
            </w:pPr>
            <w:r>
              <w:rPr>
                <w:rFonts w:hint="eastAsia" w:ascii="黑体" w:hAnsi="黑体" w:eastAsia="黑体" w:cs="宋体"/>
              </w:rPr>
              <w:t>名称</w:t>
            </w:r>
          </w:p>
        </w:tc>
        <w:tc>
          <w:tcPr>
            <w:tcW w:w="5266" w:type="dxa"/>
            <w:vAlign w:val="center"/>
          </w:tcPr>
          <w:p>
            <w:pPr>
              <w:rPr>
                <w:rFonts w:ascii="黑体" w:hAnsi="黑体" w:eastAsia="黑体" w:cs="宋体"/>
              </w:rPr>
            </w:pPr>
            <w:r>
              <w:rPr>
                <w:rFonts w:hint="eastAsia" w:ascii="黑体" w:hAnsi="黑体" w:eastAsia="黑体" w:cs="宋体"/>
              </w:rPr>
              <w:t>参数</w:t>
            </w:r>
          </w:p>
        </w:tc>
        <w:tc>
          <w:tcPr>
            <w:tcW w:w="436" w:type="dxa"/>
            <w:vAlign w:val="center"/>
          </w:tcPr>
          <w:p>
            <w:pPr>
              <w:jc w:val="center"/>
              <w:rPr>
                <w:rFonts w:ascii="黑体" w:hAnsi="黑体" w:eastAsia="黑体" w:cs="宋体"/>
              </w:rPr>
            </w:pPr>
            <w:r>
              <w:rPr>
                <w:rFonts w:hint="eastAsia" w:ascii="黑体" w:hAnsi="黑体" w:eastAsia="黑体" w:cs="宋体"/>
              </w:rPr>
              <w:t>单位</w:t>
            </w:r>
          </w:p>
        </w:tc>
        <w:tc>
          <w:tcPr>
            <w:tcW w:w="436" w:type="dxa"/>
            <w:vAlign w:val="center"/>
          </w:tcPr>
          <w:p>
            <w:pPr>
              <w:jc w:val="center"/>
              <w:rPr>
                <w:rFonts w:ascii="黑体" w:hAnsi="黑体" w:eastAsia="黑体" w:cs="宋体"/>
              </w:rPr>
            </w:pPr>
            <w:r>
              <w:rPr>
                <w:rFonts w:hint="eastAsia" w:ascii="黑体" w:hAnsi="黑体" w:eastAsia="黑体" w:cs="宋体"/>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436" w:type="dxa"/>
            <w:vAlign w:val="center"/>
          </w:tcPr>
          <w:p>
            <w:pPr>
              <w:jc w:val="center"/>
              <w:rPr>
                <w:rFonts w:ascii="宋体" w:hAnsi="宋体" w:cs="宋体"/>
                <w:sz w:val="20"/>
                <w:szCs w:val="20"/>
              </w:rPr>
            </w:pPr>
            <w:r>
              <w:rPr>
                <w:rFonts w:hint="eastAsia" w:ascii="宋体" w:hAnsi="宋体" w:cs="宋体"/>
                <w:sz w:val="20"/>
                <w:szCs w:val="20"/>
              </w:rPr>
              <w:t>1</w:t>
            </w:r>
          </w:p>
        </w:tc>
        <w:tc>
          <w:tcPr>
            <w:tcW w:w="2146" w:type="dxa"/>
            <w:vAlign w:val="center"/>
          </w:tcPr>
          <w:p>
            <w:pPr>
              <w:jc w:val="center"/>
              <w:rPr>
                <w:rFonts w:ascii="宋体" w:hAnsi="宋体" w:cs="宋体"/>
                <w:sz w:val="20"/>
                <w:szCs w:val="20"/>
              </w:rPr>
            </w:pPr>
            <w:r>
              <w:rPr>
                <w:rFonts w:hint="eastAsia" w:ascii="宋体" w:hAnsi="宋体" w:cs="宋体"/>
                <w:sz w:val="20"/>
                <w:szCs w:val="20"/>
              </w:rPr>
              <w:t>多媒体智能教学终端</w:t>
            </w:r>
          </w:p>
        </w:tc>
        <w:tc>
          <w:tcPr>
            <w:tcW w:w="5266" w:type="dxa"/>
            <w:vAlign w:val="center"/>
          </w:tcPr>
          <w:p>
            <w:pPr>
              <w:rPr>
                <w:rFonts w:ascii="宋体" w:hAnsi="宋体" w:cs="宋体"/>
                <w:sz w:val="20"/>
                <w:szCs w:val="20"/>
              </w:rPr>
            </w:pPr>
            <w:r>
              <w:rPr>
                <w:rFonts w:hint="eastAsia" w:ascii="宋体" w:hAnsi="宋体" w:cs="宋体"/>
                <w:sz w:val="20"/>
                <w:szCs w:val="20"/>
              </w:rPr>
              <w:t>1、</w:t>
            </w:r>
            <w:r>
              <w:rPr>
                <w:rFonts w:hint="eastAsia"/>
              </w:rPr>
              <w:t>▲</w:t>
            </w:r>
            <w:r>
              <w:rPr>
                <w:rFonts w:hint="eastAsia" w:ascii="宋体" w:hAnsi="宋体" w:cs="宋体"/>
                <w:sz w:val="20"/>
                <w:szCs w:val="20"/>
              </w:rPr>
              <w:t>内置定制工业级嵌入式X86工控主板；标配14寸多点工业触摸屏且触摸点数量≥9个；板载CPU≥I5 ，主频≥1.7G；板载DDR3 内存≥7G；标配 MSATA SSD固态硬盘≥118G；支持双屏拼接显示技术，每个屏幕最高分辨率都可达1920*1080@60P；自带500万像素高拍仪；支持远程开关机；工业ABS工程塑料注塑成型外观；</w:t>
            </w:r>
            <w:r>
              <w:rPr>
                <w:rFonts w:hint="eastAsia" w:ascii="宋体" w:hAnsi="宋体" w:cs="宋体"/>
                <w:sz w:val="20"/>
                <w:szCs w:val="20"/>
              </w:rPr>
              <w:br w:type="textWrapping"/>
            </w:r>
            <w:r>
              <w:rPr>
                <w:rFonts w:hint="eastAsia" w:ascii="宋体" w:hAnsi="宋体" w:cs="宋体"/>
                <w:sz w:val="20"/>
                <w:szCs w:val="20"/>
              </w:rPr>
              <w:t>2、本机自带1路220V防脱落插座电源输入接口和3路220V防脱落智能强电输出插座，可通过核心智能终端方便智能管理外接设备（投影机、平板、屏蔽仪、投影屏幕、外接排插等）的电源。</w:t>
            </w:r>
            <w:r>
              <w:rPr>
                <w:rFonts w:hint="eastAsia" w:ascii="宋体" w:hAnsi="宋体" w:cs="宋体"/>
                <w:sz w:val="20"/>
                <w:szCs w:val="20"/>
              </w:rPr>
              <w:br w:type="textWrapping"/>
            </w:r>
            <w:r>
              <w:rPr>
                <w:rFonts w:hint="eastAsia" w:ascii="宋体" w:hAnsi="宋体" w:cs="宋体"/>
                <w:sz w:val="20"/>
                <w:szCs w:val="20"/>
              </w:rPr>
              <w:t>3、</w:t>
            </w:r>
            <w:r>
              <w:rPr>
                <w:rFonts w:hint="eastAsia"/>
              </w:rPr>
              <w:t>▲</w:t>
            </w:r>
            <w:r>
              <w:rPr>
                <w:rFonts w:hint="eastAsia" w:ascii="宋体" w:hAnsi="宋体" w:cs="宋体"/>
                <w:sz w:val="20"/>
                <w:szCs w:val="20"/>
              </w:rPr>
              <w:t xml:space="preserve">内置3*2路HDMI交叉矩阵；2路高清HDMI高清显示接口输出，2路高清HDMI输入，可编程RS232通信串口≥1路，磁控锁控制接口≥1路； </w:t>
            </w:r>
            <w:r>
              <w:rPr>
                <w:rFonts w:hint="eastAsia" w:ascii="宋体" w:hAnsi="宋体" w:cs="宋体"/>
                <w:sz w:val="20"/>
                <w:szCs w:val="20"/>
              </w:rPr>
              <w:br w:type="textWrapping"/>
            </w:r>
            <w:r>
              <w:rPr>
                <w:rFonts w:hint="eastAsia" w:ascii="宋体" w:hAnsi="宋体" w:cs="宋体"/>
                <w:sz w:val="20"/>
                <w:szCs w:val="20"/>
              </w:rPr>
              <w:t>4、板载10/100/1000M RJ45千兆网络接口数量≥5个；</w:t>
            </w:r>
            <w:r>
              <w:rPr>
                <w:rFonts w:hint="eastAsia" w:ascii="宋体" w:hAnsi="宋体" w:cs="宋体"/>
                <w:sz w:val="20"/>
                <w:szCs w:val="20"/>
              </w:rPr>
              <w:br w:type="textWrapping"/>
            </w:r>
            <w:r>
              <w:rPr>
                <w:rFonts w:hint="eastAsia" w:ascii="宋体" w:hAnsi="宋体" w:cs="宋体"/>
                <w:sz w:val="20"/>
                <w:szCs w:val="20"/>
              </w:rPr>
              <w:t>5、</w:t>
            </w:r>
            <w:r>
              <w:rPr>
                <w:rFonts w:hint="eastAsia"/>
              </w:rPr>
              <w:t>▲</w:t>
            </w:r>
            <w:r>
              <w:rPr>
                <w:rFonts w:hint="eastAsia" w:ascii="宋体" w:hAnsi="宋体" w:cs="宋体"/>
                <w:sz w:val="20"/>
                <w:szCs w:val="20"/>
              </w:rPr>
              <w:t>自身标配USB接口≥6路（其中前置2个USB3.0接口,顶部4个USB2.0接口和2路智能终端USB通信接口（可连接电子时钟、IC卡及定制开发控制功能或扩展RS232接口等）；</w:t>
            </w:r>
            <w:r>
              <w:rPr>
                <w:rFonts w:hint="eastAsia" w:ascii="宋体" w:hAnsi="宋体" w:cs="宋体"/>
                <w:sz w:val="20"/>
                <w:szCs w:val="20"/>
              </w:rPr>
              <w:br w:type="textWrapping"/>
            </w:r>
            <w:r>
              <w:rPr>
                <w:rFonts w:hint="eastAsia" w:ascii="宋体" w:hAnsi="宋体" w:cs="宋体"/>
                <w:sz w:val="20"/>
                <w:szCs w:val="20"/>
              </w:rPr>
              <w:t>6、1路立体声功放输出端口和一路AUX线性输出接口，两路外接音频输入，一路有线话筒输入；</w:t>
            </w:r>
            <w:r>
              <w:rPr>
                <w:rFonts w:hint="eastAsia" w:ascii="宋体" w:hAnsi="宋体" w:cs="宋体"/>
                <w:sz w:val="20"/>
                <w:szCs w:val="20"/>
              </w:rPr>
              <w:br w:type="textWrapping"/>
            </w:r>
            <w:r>
              <w:rPr>
                <w:rFonts w:hint="eastAsia" w:ascii="宋体" w:hAnsi="宋体" w:cs="宋体"/>
                <w:sz w:val="20"/>
                <w:szCs w:val="20"/>
              </w:rPr>
              <w:t>7、标配触控式按键≥9个，集成物联协议，可接入同品牌无线麦克风和物联模块且支持的外接电源模块数量≥13个；</w:t>
            </w:r>
            <w:r>
              <w:rPr>
                <w:rFonts w:hint="eastAsia" w:ascii="宋体" w:hAnsi="宋体" w:cs="宋体"/>
                <w:sz w:val="20"/>
                <w:szCs w:val="20"/>
              </w:rPr>
              <w:br w:type="textWrapping"/>
            </w:r>
            <w:r>
              <w:rPr>
                <w:rFonts w:hint="eastAsia" w:ascii="宋体" w:hAnsi="宋体" w:cs="宋体"/>
                <w:sz w:val="20"/>
                <w:szCs w:val="20"/>
              </w:rPr>
              <w:t>8、</w:t>
            </w:r>
            <w:r>
              <w:rPr>
                <w:rFonts w:hint="eastAsia"/>
              </w:rPr>
              <w:t>▲</w:t>
            </w:r>
            <w:r>
              <w:rPr>
                <w:rFonts w:hint="eastAsia" w:ascii="宋体" w:hAnsi="宋体" w:cs="宋体"/>
                <w:sz w:val="20"/>
                <w:szCs w:val="20"/>
              </w:rPr>
              <w:t>内置网络集控主板设计采用工业级高速MIPS 700M主频嵌入式CPU+定制化Linux系统,板载512MB DDR-2 DRAM,256M SLCNAND FLASH；</w:t>
            </w:r>
            <w:r>
              <w:rPr>
                <w:rFonts w:hint="eastAsia" w:ascii="宋体" w:hAnsi="宋体" w:cs="宋体"/>
                <w:sz w:val="20"/>
                <w:szCs w:val="20"/>
              </w:rPr>
              <w:br w:type="textWrapping"/>
            </w:r>
            <w:r>
              <w:rPr>
                <w:rFonts w:hint="eastAsia" w:ascii="宋体" w:hAnsi="宋体" w:cs="宋体"/>
                <w:sz w:val="20"/>
                <w:szCs w:val="20"/>
              </w:rPr>
              <w:t>9、集成60W+60W数字智能功放；</w:t>
            </w:r>
            <w:r>
              <w:rPr>
                <w:rFonts w:hint="eastAsia" w:ascii="宋体" w:hAnsi="宋体" w:cs="宋体"/>
                <w:sz w:val="20"/>
                <w:szCs w:val="20"/>
              </w:rPr>
              <w:br w:type="textWrapping"/>
            </w:r>
            <w:r>
              <w:rPr>
                <w:rFonts w:hint="eastAsia" w:ascii="宋体" w:hAnsi="宋体" w:cs="宋体"/>
                <w:sz w:val="20"/>
                <w:szCs w:val="20"/>
              </w:rPr>
              <w:t>10、支持教室终端的设备智能集控；设备启用和禁用；智能教学一体机设备（包含外接及无线物联设备）的状态远程监视和能耗统计；智能教学一体机（包含外接及无线物联设备）的远程开关机；通过集控软件进行远程分组、分点可编程指定时间进行远程禁用、启用、开机、关机功能。</w:t>
            </w:r>
          </w:p>
          <w:p>
            <w:pPr>
              <w:rPr>
                <w:rFonts w:ascii="宋体" w:hAnsi="宋体" w:cs="宋体"/>
                <w:sz w:val="20"/>
                <w:szCs w:val="20"/>
              </w:rPr>
            </w:pPr>
            <w:r>
              <w:rPr>
                <w:rFonts w:hint="eastAsia" w:ascii="宋体" w:hAnsi="宋体" w:cs="宋体"/>
                <w:sz w:val="20"/>
                <w:szCs w:val="20"/>
              </w:rPr>
              <w:t>11、</w:t>
            </w:r>
            <w:r>
              <w:rPr>
                <w:rFonts w:hint="eastAsia"/>
              </w:rPr>
              <w:t>▲</w:t>
            </w:r>
            <w:r>
              <w:rPr>
                <w:rFonts w:hint="eastAsia" w:ascii="宋体" w:hAnsi="宋体" w:cs="宋体"/>
                <w:sz w:val="20"/>
                <w:szCs w:val="20"/>
              </w:rPr>
              <w:t>本机标配高效高清音视频解码功能，不需要加任何设备配合支撑平台直接实现：IP数字广播、全高清（1920*1080P）的解码输出；定时上课铃、下课铃等作息铃声、校园日常广播；可跨网段实现音视频的业务流传输，校园电视台智能全高清直转播功能；可在同网段或跨网段实现高清（1920*1080P）音视频推送及直播、转播、定时广播、手动广播等业务。音视频播放支持MP3、MP4、MOV、AVI、TS流等主流格式；</w:t>
            </w:r>
            <w:r>
              <w:rPr>
                <w:rFonts w:hint="eastAsia" w:ascii="宋体" w:hAnsi="宋体" w:cs="宋体"/>
                <w:sz w:val="20"/>
                <w:szCs w:val="20"/>
              </w:rPr>
              <w:br w:type="textWrapping"/>
            </w:r>
            <w:r>
              <w:rPr>
                <w:rFonts w:hint="eastAsia" w:ascii="宋体" w:hAnsi="宋体" w:cs="宋体"/>
                <w:sz w:val="20"/>
                <w:szCs w:val="20"/>
              </w:rPr>
              <w:t>12、提供生产厂家有效的ISO9001、ISO14001复印件加盖生产厂家公章。</w:t>
            </w:r>
            <w:r>
              <w:rPr>
                <w:rFonts w:hint="eastAsia" w:ascii="宋体" w:hAnsi="宋体" w:cs="宋体"/>
                <w:sz w:val="20"/>
                <w:szCs w:val="20"/>
              </w:rPr>
              <w:br w:type="textWrapping"/>
            </w:r>
            <w:r>
              <w:rPr>
                <w:rFonts w:hint="eastAsia" w:ascii="宋体" w:hAnsi="宋体" w:cs="宋体"/>
                <w:sz w:val="20"/>
                <w:szCs w:val="20"/>
              </w:rPr>
              <w:t>13、提供该产品有效的3C认证证书复印件加盖生产厂家公章</w:t>
            </w:r>
            <w:r>
              <w:rPr>
                <w:rFonts w:hint="eastAsia" w:ascii="宋体" w:hAnsi="宋体" w:cs="宋体"/>
                <w:sz w:val="20"/>
                <w:szCs w:val="20"/>
              </w:rPr>
              <w:br w:type="textWrapping"/>
            </w:r>
            <w:r>
              <w:rPr>
                <w:rFonts w:hint="eastAsia" w:ascii="宋体" w:hAnsi="宋体" w:cs="宋体"/>
                <w:sz w:val="20"/>
                <w:szCs w:val="20"/>
              </w:rPr>
              <w:t>14、为保证设备品质中标供应商在签订合同前提供生产厂家的原厂设备供货证明（加盖生产厂商公章）。</w:t>
            </w:r>
            <w:r>
              <w:rPr>
                <w:rFonts w:hint="eastAsia" w:ascii="宋体" w:hAnsi="宋体" w:cs="宋体"/>
                <w:sz w:val="20"/>
                <w:szCs w:val="20"/>
              </w:rPr>
              <w:br w:type="textWrapping"/>
            </w:r>
            <w:r>
              <w:rPr>
                <w:rFonts w:hint="eastAsia" w:ascii="宋体" w:hAnsi="宋体" w:cs="宋体"/>
                <w:sz w:val="20"/>
                <w:szCs w:val="20"/>
              </w:rPr>
              <w:t>15、为保证设备售后服务、提供本产品制造商出具的不少于叁年的售后承诺函原件并加盖供应商公章。</w:t>
            </w:r>
          </w:p>
        </w:tc>
        <w:tc>
          <w:tcPr>
            <w:tcW w:w="436" w:type="dxa"/>
            <w:vAlign w:val="center"/>
          </w:tcPr>
          <w:p>
            <w:pPr>
              <w:jc w:val="center"/>
              <w:rPr>
                <w:rFonts w:ascii="宋体" w:hAnsi="宋体" w:cs="宋体"/>
                <w:sz w:val="20"/>
                <w:szCs w:val="20"/>
              </w:rPr>
            </w:pPr>
            <w:r>
              <w:rPr>
                <w:rFonts w:hint="eastAsia" w:ascii="宋体" w:hAnsi="宋体" w:cs="宋体"/>
                <w:sz w:val="20"/>
                <w:szCs w:val="20"/>
              </w:rPr>
              <w:t>套</w:t>
            </w:r>
          </w:p>
        </w:tc>
        <w:tc>
          <w:tcPr>
            <w:tcW w:w="436" w:type="dxa"/>
            <w:vAlign w:val="center"/>
          </w:tcPr>
          <w:p>
            <w:pPr>
              <w:jc w:val="center"/>
              <w:rPr>
                <w:rFonts w:ascii="宋体" w:hAnsi="宋体" w:cs="宋体"/>
                <w:sz w:val="20"/>
                <w:szCs w:val="20"/>
              </w:rPr>
            </w:pPr>
            <w:r>
              <w:rPr>
                <w:rFonts w:hint="eastAsia" w:ascii="宋体" w:hAnsi="宋体" w:cs="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436" w:type="dxa"/>
            <w:vAlign w:val="center"/>
          </w:tcPr>
          <w:p>
            <w:pPr>
              <w:jc w:val="center"/>
              <w:rPr>
                <w:rFonts w:ascii="宋体" w:hAnsi="宋体" w:cs="宋体"/>
                <w:sz w:val="20"/>
                <w:szCs w:val="20"/>
              </w:rPr>
            </w:pPr>
            <w:r>
              <w:rPr>
                <w:rFonts w:hint="eastAsia" w:ascii="宋体" w:hAnsi="宋体" w:cs="宋体"/>
                <w:sz w:val="20"/>
                <w:szCs w:val="20"/>
              </w:rPr>
              <w:t>2</w:t>
            </w:r>
          </w:p>
        </w:tc>
        <w:tc>
          <w:tcPr>
            <w:tcW w:w="2146" w:type="dxa"/>
            <w:vAlign w:val="center"/>
          </w:tcPr>
          <w:p>
            <w:pPr>
              <w:jc w:val="center"/>
              <w:rPr>
                <w:rFonts w:ascii="宋体" w:hAnsi="宋体" w:cs="宋体"/>
                <w:sz w:val="20"/>
                <w:szCs w:val="20"/>
              </w:rPr>
            </w:pPr>
            <w:r>
              <w:rPr>
                <w:rFonts w:hint="eastAsia" w:ascii="宋体" w:hAnsi="宋体" w:cs="宋体"/>
                <w:sz w:val="20"/>
                <w:szCs w:val="20"/>
              </w:rPr>
              <w:t>吸顶音箱</w:t>
            </w:r>
          </w:p>
        </w:tc>
        <w:tc>
          <w:tcPr>
            <w:tcW w:w="5266" w:type="dxa"/>
            <w:vAlign w:val="center"/>
          </w:tcPr>
          <w:p>
            <w:pPr>
              <w:rPr>
                <w:rFonts w:ascii="宋体" w:hAnsi="宋体" w:cs="宋体"/>
                <w:sz w:val="20"/>
                <w:szCs w:val="20"/>
              </w:rPr>
            </w:pPr>
            <w:r>
              <w:rPr>
                <w:rFonts w:hint="eastAsia" w:ascii="宋体" w:hAnsi="宋体" w:cs="宋体"/>
                <w:sz w:val="20"/>
                <w:szCs w:val="20"/>
              </w:rPr>
              <w:t>额定功率：60W/16Ω</w:t>
            </w:r>
            <w:r>
              <w:rPr>
                <w:rFonts w:hint="eastAsia" w:ascii="宋体" w:hAnsi="宋体" w:cs="宋体"/>
                <w:sz w:val="20"/>
                <w:szCs w:val="20"/>
              </w:rPr>
              <w:br w:type="textWrapping"/>
            </w:r>
            <w:r>
              <w:rPr>
                <w:rFonts w:hint="eastAsia" w:ascii="宋体" w:hAnsi="宋体" w:cs="宋体"/>
                <w:sz w:val="20"/>
                <w:szCs w:val="20"/>
              </w:rPr>
              <w:t>频率响应：100-20KHz</w:t>
            </w:r>
            <w:r>
              <w:rPr>
                <w:rFonts w:hint="eastAsia" w:ascii="宋体" w:hAnsi="宋体" w:cs="宋体"/>
                <w:sz w:val="20"/>
                <w:szCs w:val="20"/>
              </w:rPr>
              <w:br w:type="textWrapping"/>
            </w:r>
            <w:r>
              <w:rPr>
                <w:rFonts w:hint="eastAsia" w:ascii="宋体" w:hAnsi="宋体" w:cs="宋体"/>
                <w:sz w:val="20"/>
                <w:szCs w:val="20"/>
              </w:rPr>
              <w:t>灵敏度：90dB</w:t>
            </w:r>
            <w:r>
              <w:rPr>
                <w:rFonts w:hint="eastAsia" w:ascii="宋体" w:hAnsi="宋体" w:cs="宋体"/>
                <w:sz w:val="20"/>
                <w:szCs w:val="20"/>
              </w:rPr>
              <w:br w:type="textWrapping"/>
            </w:r>
            <w:r>
              <w:rPr>
                <w:rFonts w:hint="eastAsia" w:ascii="宋体" w:hAnsi="宋体" w:cs="宋体"/>
                <w:sz w:val="20"/>
                <w:szCs w:val="20"/>
              </w:rPr>
              <w:t xml:space="preserve">输入电压：112dB  </w:t>
            </w:r>
            <w:r>
              <w:rPr>
                <w:rFonts w:hint="eastAsia" w:ascii="宋体" w:hAnsi="宋体" w:cs="宋体"/>
                <w:sz w:val="20"/>
                <w:szCs w:val="20"/>
              </w:rPr>
              <w:br w:type="textWrapping"/>
            </w:r>
            <w:r>
              <w:rPr>
                <w:rFonts w:hint="eastAsia" w:ascii="宋体" w:hAnsi="宋体" w:cs="宋体"/>
                <w:sz w:val="20"/>
                <w:szCs w:val="20"/>
              </w:rPr>
              <w:t>辐射角度：H110°×V110°</w:t>
            </w:r>
            <w:r>
              <w:rPr>
                <w:rFonts w:hint="eastAsia" w:ascii="宋体" w:hAnsi="宋体" w:cs="宋体"/>
                <w:sz w:val="20"/>
                <w:szCs w:val="20"/>
              </w:rPr>
              <w:br w:type="textWrapping"/>
            </w:r>
            <w:r>
              <w:rPr>
                <w:rFonts w:hint="eastAsia" w:ascii="宋体" w:hAnsi="宋体" w:cs="宋体"/>
                <w:sz w:val="20"/>
                <w:szCs w:val="20"/>
              </w:rPr>
              <w:t>吸顶开孔尺寸：220mm</w:t>
            </w:r>
          </w:p>
        </w:tc>
        <w:tc>
          <w:tcPr>
            <w:tcW w:w="436" w:type="dxa"/>
            <w:vAlign w:val="center"/>
          </w:tcPr>
          <w:p>
            <w:pPr>
              <w:jc w:val="center"/>
              <w:rPr>
                <w:rFonts w:ascii="宋体" w:hAnsi="宋体" w:cs="宋体"/>
                <w:sz w:val="20"/>
                <w:szCs w:val="20"/>
              </w:rPr>
            </w:pPr>
            <w:r>
              <w:rPr>
                <w:rFonts w:hint="eastAsia" w:ascii="宋体" w:hAnsi="宋体" w:cs="宋体"/>
                <w:sz w:val="20"/>
                <w:szCs w:val="20"/>
              </w:rPr>
              <w:t>只</w:t>
            </w:r>
          </w:p>
        </w:tc>
        <w:tc>
          <w:tcPr>
            <w:tcW w:w="436" w:type="dxa"/>
            <w:vAlign w:val="center"/>
          </w:tcPr>
          <w:p>
            <w:pPr>
              <w:jc w:val="center"/>
              <w:rPr>
                <w:rFonts w:ascii="宋体" w:hAnsi="宋体" w:cs="宋体"/>
                <w:sz w:val="20"/>
                <w:szCs w:val="20"/>
              </w:rPr>
            </w:pPr>
            <w:r>
              <w:rPr>
                <w:rFonts w:hint="eastAsia" w:ascii="宋体" w:hAnsi="宋体" w:cs="宋体"/>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436" w:type="dxa"/>
            <w:vAlign w:val="center"/>
          </w:tcPr>
          <w:p>
            <w:pPr>
              <w:jc w:val="center"/>
              <w:rPr>
                <w:rFonts w:ascii="宋体" w:hAnsi="宋体" w:cs="宋体"/>
                <w:sz w:val="20"/>
                <w:szCs w:val="20"/>
              </w:rPr>
            </w:pPr>
            <w:r>
              <w:rPr>
                <w:rFonts w:hint="eastAsia" w:ascii="宋体" w:hAnsi="宋体" w:cs="宋体"/>
                <w:sz w:val="20"/>
                <w:szCs w:val="20"/>
              </w:rPr>
              <w:t>3</w:t>
            </w:r>
          </w:p>
        </w:tc>
        <w:tc>
          <w:tcPr>
            <w:tcW w:w="2146" w:type="dxa"/>
            <w:vAlign w:val="center"/>
          </w:tcPr>
          <w:p>
            <w:pPr>
              <w:jc w:val="center"/>
              <w:rPr>
                <w:rFonts w:ascii="宋体" w:hAnsi="宋体" w:cs="宋体"/>
                <w:sz w:val="20"/>
                <w:szCs w:val="20"/>
              </w:rPr>
            </w:pPr>
            <w:r>
              <w:rPr>
                <w:rFonts w:hint="eastAsia" w:ascii="宋体" w:hAnsi="宋体" w:cs="宋体"/>
                <w:sz w:val="20"/>
                <w:szCs w:val="20"/>
              </w:rPr>
              <w:t>触摸互动终端</w:t>
            </w:r>
          </w:p>
        </w:tc>
        <w:tc>
          <w:tcPr>
            <w:tcW w:w="5266" w:type="dxa"/>
            <w:vAlign w:val="center"/>
          </w:tcPr>
          <w:p>
            <w:pPr>
              <w:rPr>
                <w:rFonts w:ascii="宋体" w:hAnsi="宋体" w:cs="宋体"/>
                <w:sz w:val="20"/>
                <w:szCs w:val="20"/>
              </w:rPr>
            </w:pPr>
            <w:r>
              <w:rPr>
                <w:rFonts w:hint="eastAsia" w:ascii="宋体" w:hAnsi="宋体" w:cs="宋体"/>
                <w:sz w:val="20"/>
                <w:szCs w:val="20"/>
              </w:rPr>
              <w:t>1、</w:t>
            </w:r>
            <w:r>
              <w:rPr>
                <w:rFonts w:ascii="宋体" w:hAnsi="宋体" w:cs="宋体"/>
                <w:sz w:val="20"/>
                <w:szCs w:val="20"/>
              </w:rPr>
              <w:t>显示尺寸：</w:t>
            </w:r>
            <w:r>
              <w:rPr>
                <w:rFonts w:hint="eastAsia" w:ascii="宋体" w:hAnsi="宋体" w:cs="宋体"/>
                <w:sz w:val="20"/>
                <w:szCs w:val="20"/>
              </w:rPr>
              <w:t>75</w:t>
            </w:r>
            <w:r>
              <w:rPr>
                <w:rFonts w:ascii="宋体" w:hAnsi="宋体" w:cs="宋体"/>
                <w:sz w:val="20"/>
                <w:szCs w:val="20"/>
              </w:rPr>
              <w:t>英寸；</w:t>
            </w:r>
          </w:p>
          <w:p>
            <w:pPr>
              <w:rPr>
                <w:rFonts w:ascii="宋体" w:hAnsi="宋体" w:cs="宋体"/>
                <w:sz w:val="20"/>
                <w:szCs w:val="20"/>
              </w:rPr>
            </w:pPr>
            <w:r>
              <w:rPr>
                <w:rFonts w:hint="eastAsia" w:ascii="宋体" w:hAnsi="宋体" w:cs="宋体"/>
                <w:sz w:val="20"/>
                <w:szCs w:val="20"/>
              </w:rPr>
              <w:t>2、</w:t>
            </w:r>
            <w:r>
              <w:rPr>
                <w:rFonts w:ascii="宋体" w:hAnsi="宋体" w:cs="宋体"/>
                <w:sz w:val="20"/>
                <w:szCs w:val="20"/>
              </w:rPr>
              <w:t>亮度：4</w:t>
            </w:r>
            <w:r>
              <w:rPr>
                <w:rFonts w:hint="eastAsia" w:ascii="宋体" w:hAnsi="宋体" w:cs="宋体"/>
                <w:sz w:val="20"/>
                <w:szCs w:val="20"/>
              </w:rPr>
              <w:t>5</w:t>
            </w:r>
            <w:r>
              <w:rPr>
                <w:rFonts w:ascii="宋体" w:hAnsi="宋体" w:cs="宋体"/>
                <w:sz w:val="20"/>
                <w:szCs w:val="20"/>
              </w:rPr>
              <w:t>0cd/m²；</w:t>
            </w:r>
          </w:p>
          <w:p>
            <w:pPr>
              <w:rPr>
                <w:rFonts w:ascii="宋体" w:hAnsi="宋体" w:cs="宋体"/>
                <w:sz w:val="20"/>
                <w:szCs w:val="20"/>
              </w:rPr>
            </w:pPr>
            <w:r>
              <w:rPr>
                <w:rFonts w:hint="eastAsia" w:ascii="宋体" w:hAnsi="宋体" w:cs="宋体"/>
                <w:sz w:val="20"/>
                <w:szCs w:val="20"/>
              </w:rPr>
              <w:t>3、固有</w:t>
            </w:r>
            <w:r>
              <w:rPr>
                <w:rFonts w:ascii="宋体" w:hAnsi="宋体" w:cs="宋体"/>
                <w:sz w:val="20"/>
                <w:szCs w:val="20"/>
              </w:rPr>
              <w:t>分辨率：3840 x2160；（提供</w:t>
            </w:r>
            <w:r>
              <w:rPr>
                <w:rFonts w:hint="eastAsia" w:ascii="宋体" w:hAnsi="宋体" w:cs="宋体"/>
                <w:sz w:val="20"/>
                <w:szCs w:val="20"/>
              </w:rPr>
              <w:t>固有</w:t>
            </w:r>
            <w:r>
              <w:rPr>
                <w:rFonts w:ascii="宋体" w:hAnsi="宋体" w:cs="宋体"/>
                <w:sz w:val="20"/>
                <w:szCs w:val="20"/>
              </w:rPr>
              <w:t>分辨率的检测报告）</w:t>
            </w:r>
          </w:p>
          <w:p>
            <w:pPr>
              <w:rPr>
                <w:rFonts w:ascii="宋体" w:hAnsi="宋体" w:cs="宋体"/>
                <w:sz w:val="20"/>
                <w:szCs w:val="20"/>
              </w:rPr>
            </w:pPr>
            <w:r>
              <w:rPr>
                <w:rFonts w:hint="eastAsia" w:ascii="宋体" w:hAnsi="宋体" w:cs="宋体"/>
                <w:sz w:val="20"/>
                <w:szCs w:val="20"/>
              </w:rPr>
              <w:t>4、</w:t>
            </w:r>
            <w:r>
              <w:rPr>
                <w:rFonts w:ascii="宋体" w:hAnsi="宋体" w:cs="宋体"/>
                <w:sz w:val="20"/>
                <w:szCs w:val="20"/>
              </w:rPr>
              <w:t>对比度：</w:t>
            </w:r>
            <w:r>
              <w:rPr>
                <w:rFonts w:hint="eastAsia" w:ascii="宋体" w:hAnsi="宋体" w:cs="宋体"/>
                <w:sz w:val="20"/>
                <w:szCs w:val="20"/>
              </w:rPr>
              <w:t>4</w:t>
            </w:r>
            <w:r>
              <w:rPr>
                <w:rFonts w:ascii="宋体" w:hAnsi="宋体" w:cs="宋体"/>
                <w:sz w:val="20"/>
                <w:szCs w:val="20"/>
              </w:rPr>
              <w:t>000：1；</w:t>
            </w:r>
          </w:p>
          <w:p>
            <w:pPr>
              <w:rPr>
                <w:rFonts w:ascii="宋体" w:hAnsi="宋体" w:cs="宋体"/>
                <w:sz w:val="20"/>
                <w:szCs w:val="20"/>
              </w:rPr>
            </w:pPr>
            <w:r>
              <w:rPr>
                <w:rFonts w:hint="eastAsia" w:ascii="宋体" w:hAnsi="宋体" w:cs="宋体"/>
                <w:sz w:val="20"/>
                <w:szCs w:val="20"/>
              </w:rPr>
              <w:t>5、显示比例：16:9；</w:t>
            </w:r>
          </w:p>
          <w:p>
            <w:pPr>
              <w:rPr>
                <w:rFonts w:ascii="宋体" w:hAnsi="宋体" w:cs="宋体"/>
                <w:sz w:val="20"/>
                <w:szCs w:val="20"/>
              </w:rPr>
            </w:pPr>
            <w:r>
              <w:rPr>
                <w:rFonts w:hint="eastAsia" w:ascii="宋体" w:hAnsi="宋体" w:cs="宋体"/>
                <w:sz w:val="20"/>
                <w:szCs w:val="20"/>
              </w:rPr>
              <w:t>6、</w:t>
            </w:r>
            <w:r>
              <w:rPr>
                <w:rFonts w:ascii="宋体" w:hAnsi="宋体" w:cs="宋体"/>
                <w:sz w:val="20"/>
                <w:szCs w:val="20"/>
              </w:rPr>
              <w:t>反应时间：</w:t>
            </w:r>
            <w:r>
              <w:rPr>
                <w:rFonts w:hint="eastAsia" w:ascii="宋体" w:hAnsi="宋体" w:cs="宋体"/>
                <w:sz w:val="20"/>
                <w:szCs w:val="20"/>
              </w:rPr>
              <w:t>4</w:t>
            </w:r>
            <w:r>
              <w:rPr>
                <w:rFonts w:ascii="宋体" w:hAnsi="宋体" w:cs="宋体"/>
                <w:sz w:val="20"/>
                <w:szCs w:val="20"/>
              </w:rPr>
              <w:t>ms；</w:t>
            </w:r>
          </w:p>
          <w:p>
            <w:pPr>
              <w:rPr>
                <w:rFonts w:ascii="宋体" w:hAnsi="宋体" w:cs="宋体"/>
                <w:sz w:val="20"/>
                <w:szCs w:val="20"/>
              </w:rPr>
            </w:pPr>
            <w:r>
              <w:rPr>
                <w:rFonts w:hint="eastAsia" w:ascii="宋体" w:hAnsi="宋体" w:cs="宋体"/>
                <w:sz w:val="20"/>
                <w:szCs w:val="20"/>
              </w:rPr>
              <w:t>7、</w:t>
            </w:r>
            <w:r>
              <w:rPr>
                <w:rFonts w:ascii="宋体" w:hAnsi="宋体" w:cs="宋体"/>
                <w:sz w:val="20"/>
                <w:szCs w:val="20"/>
              </w:rPr>
              <w:t>视角：178 度 (H) / 178 度 (V)；</w:t>
            </w:r>
          </w:p>
          <w:p>
            <w:pPr>
              <w:rPr>
                <w:rFonts w:ascii="宋体" w:hAnsi="宋体" w:cs="宋体"/>
                <w:sz w:val="20"/>
                <w:szCs w:val="20"/>
              </w:rPr>
            </w:pPr>
            <w:r>
              <w:rPr>
                <w:rFonts w:hint="eastAsia" w:ascii="宋体" w:hAnsi="宋体" w:cs="宋体"/>
                <w:sz w:val="20"/>
                <w:szCs w:val="20"/>
              </w:rPr>
              <w:t>8、</w:t>
            </w:r>
            <w:r>
              <w:rPr>
                <w:rFonts w:ascii="宋体" w:hAnsi="宋体" w:cs="宋体"/>
                <w:sz w:val="20"/>
                <w:szCs w:val="20"/>
              </w:rPr>
              <w:t>色彩：1</w:t>
            </w:r>
            <w:r>
              <w:rPr>
                <w:rFonts w:hint="eastAsia" w:ascii="宋体" w:hAnsi="宋体" w:cs="宋体"/>
                <w:sz w:val="20"/>
                <w:szCs w:val="20"/>
              </w:rPr>
              <w:t>.0</w:t>
            </w:r>
            <w:r>
              <w:rPr>
                <w:rFonts w:ascii="宋体" w:hAnsi="宋体" w:cs="宋体"/>
                <w:sz w:val="20"/>
                <w:szCs w:val="20"/>
              </w:rPr>
              <w:t>7</w:t>
            </w:r>
            <w:r>
              <w:rPr>
                <w:rFonts w:hint="eastAsia" w:ascii="宋体" w:hAnsi="宋体" w:cs="宋体"/>
                <w:sz w:val="20"/>
                <w:szCs w:val="20"/>
              </w:rPr>
              <w:t>B（10bit）</w:t>
            </w:r>
            <w:r>
              <w:rPr>
                <w:rFonts w:ascii="宋体" w:hAnsi="宋体" w:cs="宋体"/>
                <w:sz w:val="20"/>
                <w:szCs w:val="20"/>
              </w:rPr>
              <w:t>；</w:t>
            </w:r>
          </w:p>
          <w:p>
            <w:pPr>
              <w:rPr>
                <w:rFonts w:ascii="宋体" w:hAnsi="宋体" w:cs="宋体"/>
                <w:sz w:val="20"/>
                <w:szCs w:val="20"/>
              </w:rPr>
            </w:pPr>
            <w:r>
              <w:rPr>
                <w:rFonts w:hint="eastAsia" w:ascii="宋体" w:hAnsi="宋体" w:cs="宋体"/>
                <w:sz w:val="20"/>
                <w:szCs w:val="20"/>
              </w:rPr>
              <w:t>9、</w:t>
            </w:r>
            <w:r>
              <w:rPr>
                <w:rFonts w:ascii="宋体" w:hAnsi="宋体" w:cs="宋体"/>
                <w:sz w:val="20"/>
                <w:szCs w:val="20"/>
              </w:rPr>
              <w:t>输入接口：HDMI</w:t>
            </w:r>
            <w:r>
              <w:rPr>
                <w:rFonts w:hint="eastAsia" w:ascii="宋体" w:hAnsi="宋体" w:cs="宋体"/>
                <w:sz w:val="20"/>
                <w:szCs w:val="20"/>
              </w:rPr>
              <w:t>、</w:t>
            </w:r>
            <w:r>
              <w:rPr>
                <w:rFonts w:ascii="宋体" w:hAnsi="宋体" w:cs="宋体"/>
                <w:sz w:val="20"/>
                <w:szCs w:val="20"/>
              </w:rPr>
              <w:t>VGA、PC-AUDIO、</w:t>
            </w:r>
            <w:r>
              <w:rPr>
                <w:rFonts w:hint="eastAsia" w:ascii="宋体" w:hAnsi="宋体" w:cs="宋体"/>
                <w:sz w:val="20"/>
                <w:szCs w:val="20"/>
              </w:rPr>
              <w:t>LAN、</w:t>
            </w:r>
            <w:r>
              <w:rPr>
                <w:rFonts w:ascii="宋体" w:hAnsi="宋体" w:cs="宋体"/>
                <w:sz w:val="20"/>
                <w:szCs w:val="20"/>
              </w:rPr>
              <w:t>Y Pb Pr、AV、USB</w:t>
            </w:r>
            <w:r>
              <w:rPr>
                <w:rFonts w:hint="eastAsia" w:ascii="宋体" w:hAnsi="宋体" w:cs="宋体"/>
                <w:sz w:val="20"/>
                <w:szCs w:val="20"/>
              </w:rPr>
              <w:t>2.0</w:t>
            </w:r>
            <w:r>
              <w:rPr>
                <w:rFonts w:ascii="宋体" w:hAnsi="宋体" w:cs="宋体"/>
                <w:sz w:val="20"/>
                <w:szCs w:val="20"/>
              </w:rPr>
              <w:t>、USB</w:t>
            </w:r>
            <w:r>
              <w:rPr>
                <w:rFonts w:hint="eastAsia" w:ascii="宋体" w:hAnsi="宋体" w:cs="宋体"/>
                <w:sz w:val="20"/>
                <w:szCs w:val="20"/>
              </w:rPr>
              <w:t>3.0</w:t>
            </w:r>
            <w:r>
              <w:rPr>
                <w:rFonts w:ascii="宋体" w:hAnsi="宋体" w:cs="宋体"/>
                <w:sz w:val="20"/>
                <w:szCs w:val="20"/>
              </w:rPr>
              <w:t>、USB</w:t>
            </w:r>
            <w:r>
              <w:rPr>
                <w:rFonts w:hint="eastAsia" w:ascii="宋体" w:hAnsi="宋体" w:cs="宋体"/>
                <w:sz w:val="20"/>
                <w:szCs w:val="20"/>
              </w:rPr>
              <w:t>3.0</w:t>
            </w:r>
            <w:r>
              <w:rPr>
                <w:rFonts w:ascii="宋体" w:hAnsi="宋体" w:cs="宋体"/>
                <w:sz w:val="20"/>
                <w:szCs w:val="20"/>
              </w:rPr>
              <w:t>(PC)、 USB(TOUCH)、RS232</w:t>
            </w:r>
            <w:r>
              <w:rPr>
                <w:rFonts w:hint="eastAsia" w:ascii="宋体" w:hAnsi="宋体" w:cs="宋体"/>
                <w:sz w:val="20"/>
                <w:szCs w:val="20"/>
              </w:rPr>
              <w:t>；</w:t>
            </w:r>
          </w:p>
          <w:p>
            <w:pPr>
              <w:rPr>
                <w:rFonts w:ascii="宋体" w:hAnsi="宋体" w:cs="宋体"/>
                <w:sz w:val="20"/>
                <w:szCs w:val="20"/>
              </w:rPr>
            </w:pPr>
            <w:r>
              <w:rPr>
                <w:rFonts w:hint="eastAsia" w:ascii="宋体" w:hAnsi="宋体" w:cs="宋体"/>
                <w:sz w:val="20"/>
                <w:szCs w:val="20"/>
              </w:rPr>
              <w:t>10、</w:t>
            </w:r>
            <w:r>
              <w:rPr>
                <w:rFonts w:ascii="宋体" w:hAnsi="宋体" w:cs="宋体"/>
                <w:sz w:val="20"/>
                <w:szCs w:val="20"/>
              </w:rPr>
              <w:t>输出接口：AV</w:t>
            </w:r>
            <w:r>
              <w:rPr>
                <w:rFonts w:hint="eastAsia" w:ascii="宋体" w:hAnsi="宋体" w:cs="宋体"/>
                <w:sz w:val="20"/>
                <w:szCs w:val="20"/>
              </w:rPr>
              <w:t>≧</w:t>
            </w:r>
            <w:r>
              <w:rPr>
                <w:rFonts w:ascii="宋体" w:hAnsi="宋体" w:cs="宋体"/>
                <w:sz w:val="20"/>
                <w:szCs w:val="20"/>
              </w:rPr>
              <w:t>1、EARPHONE</w:t>
            </w:r>
            <w:r>
              <w:rPr>
                <w:rFonts w:hint="eastAsia" w:ascii="宋体" w:hAnsi="宋体" w:cs="宋体"/>
                <w:sz w:val="20"/>
                <w:szCs w:val="20"/>
              </w:rPr>
              <w:t>≧</w:t>
            </w:r>
            <w:r>
              <w:rPr>
                <w:rFonts w:ascii="宋体" w:hAnsi="宋体" w:cs="宋体"/>
                <w:sz w:val="20"/>
                <w:szCs w:val="20"/>
              </w:rPr>
              <w:t>1、</w:t>
            </w:r>
            <w:r>
              <w:rPr>
                <w:rFonts w:hint="eastAsia" w:ascii="宋体" w:hAnsi="宋体" w:cs="宋体"/>
                <w:sz w:val="20"/>
                <w:szCs w:val="20"/>
              </w:rPr>
              <w:t>SPDIF≧</w:t>
            </w:r>
            <w:r>
              <w:rPr>
                <w:rFonts w:ascii="宋体" w:hAnsi="宋体" w:cs="宋体"/>
                <w:sz w:val="20"/>
                <w:szCs w:val="20"/>
              </w:rPr>
              <w:t>1</w:t>
            </w:r>
          </w:p>
          <w:p>
            <w:pPr>
              <w:rPr>
                <w:rFonts w:ascii="宋体" w:hAnsi="宋体" w:cs="宋体"/>
                <w:sz w:val="20"/>
                <w:szCs w:val="20"/>
              </w:rPr>
            </w:pPr>
            <w:r>
              <w:rPr>
                <w:rFonts w:hint="eastAsia" w:ascii="宋体" w:hAnsi="宋体" w:cs="宋体"/>
                <w:sz w:val="20"/>
                <w:szCs w:val="20"/>
              </w:rPr>
              <w:t>11、</w:t>
            </w:r>
            <w:r>
              <w:rPr>
                <w:rFonts w:ascii="宋体" w:hAnsi="宋体" w:cs="宋体"/>
                <w:sz w:val="20"/>
                <w:szCs w:val="20"/>
              </w:rPr>
              <w:t>音箱：10W * 2；</w:t>
            </w:r>
          </w:p>
          <w:p>
            <w:pPr>
              <w:rPr>
                <w:rFonts w:ascii="宋体" w:hAnsi="宋体" w:cs="宋体"/>
                <w:sz w:val="20"/>
                <w:szCs w:val="20"/>
              </w:rPr>
            </w:pPr>
            <w:r>
              <w:rPr>
                <w:rFonts w:hint="eastAsia" w:ascii="宋体" w:hAnsi="宋体" w:cs="宋体"/>
                <w:sz w:val="20"/>
                <w:szCs w:val="20"/>
              </w:rPr>
              <w:t>12、</w:t>
            </w:r>
            <w:r>
              <w:rPr>
                <w:rFonts w:ascii="宋体" w:hAnsi="宋体" w:cs="宋体"/>
                <w:sz w:val="20"/>
                <w:szCs w:val="20"/>
              </w:rPr>
              <w:t>触摸分辨率：32767*32767；</w:t>
            </w:r>
          </w:p>
          <w:p>
            <w:pPr>
              <w:rPr>
                <w:rFonts w:ascii="宋体" w:hAnsi="宋体" w:cs="宋体"/>
                <w:sz w:val="20"/>
                <w:szCs w:val="20"/>
              </w:rPr>
            </w:pPr>
            <w:r>
              <w:rPr>
                <w:rFonts w:hint="eastAsia" w:ascii="宋体" w:hAnsi="宋体" w:cs="宋体"/>
                <w:sz w:val="20"/>
                <w:szCs w:val="20"/>
              </w:rPr>
              <w:t>13、</w:t>
            </w:r>
            <w:r>
              <w:rPr>
                <w:rFonts w:ascii="宋体" w:hAnsi="宋体" w:cs="宋体"/>
                <w:sz w:val="20"/>
                <w:szCs w:val="20"/>
              </w:rPr>
              <w:t>触摸</w:t>
            </w:r>
            <w:r>
              <w:rPr>
                <w:rFonts w:hint="eastAsia" w:ascii="宋体" w:hAnsi="宋体" w:cs="宋体"/>
                <w:sz w:val="20"/>
                <w:szCs w:val="20"/>
              </w:rPr>
              <w:t>技术</w:t>
            </w:r>
            <w:r>
              <w:rPr>
                <w:rFonts w:ascii="宋体" w:hAnsi="宋体" w:cs="宋体"/>
                <w:sz w:val="20"/>
                <w:szCs w:val="20"/>
              </w:rPr>
              <w:t>：表面光波多点触控</w:t>
            </w:r>
            <w:r>
              <w:rPr>
                <w:rFonts w:hint="eastAsia" w:ascii="宋体" w:hAnsi="宋体" w:cs="宋体"/>
                <w:sz w:val="20"/>
                <w:szCs w:val="20"/>
              </w:rPr>
              <w:t>；（</w:t>
            </w:r>
            <w:r>
              <w:rPr>
                <w:rFonts w:ascii="宋体" w:hAnsi="宋体" w:cs="宋体"/>
                <w:sz w:val="20"/>
                <w:szCs w:val="20"/>
              </w:rPr>
              <w:t>需提供国家权威机构出具的检测证明</w:t>
            </w:r>
            <w:r>
              <w:rPr>
                <w:rFonts w:hint="eastAsia" w:ascii="宋体" w:hAnsi="宋体" w:cs="宋体"/>
                <w:sz w:val="20"/>
                <w:szCs w:val="20"/>
              </w:rPr>
              <w:t>）</w:t>
            </w:r>
          </w:p>
          <w:p>
            <w:pPr>
              <w:rPr>
                <w:rFonts w:ascii="宋体" w:hAnsi="宋体" w:cs="宋体"/>
                <w:sz w:val="20"/>
                <w:szCs w:val="20"/>
              </w:rPr>
            </w:pPr>
            <w:r>
              <w:rPr>
                <w:rFonts w:hint="eastAsia" w:ascii="宋体" w:hAnsi="宋体" w:cs="宋体"/>
                <w:sz w:val="20"/>
                <w:szCs w:val="20"/>
              </w:rPr>
              <w:t>14、触摸点数：10点</w:t>
            </w:r>
          </w:p>
          <w:p>
            <w:pPr>
              <w:rPr>
                <w:rFonts w:ascii="宋体" w:hAnsi="宋体" w:cs="宋体"/>
                <w:sz w:val="20"/>
                <w:szCs w:val="20"/>
              </w:rPr>
            </w:pPr>
            <w:r>
              <w:rPr>
                <w:rFonts w:hint="eastAsia" w:ascii="宋体" w:hAnsi="宋体" w:cs="宋体"/>
                <w:sz w:val="20"/>
                <w:szCs w:val="20"/>
              </w:rPr>
              <w:t>15、触摸方式：</w:t>
            </w:r>
            <w:r>
              <w:rPr>
                <w:rFonts w:ascii="宋体" w:hAnsi="宋体" w:cs="宋体"/>
                <w:sz w:val="20"/>
                <w:szCs w:val="20"/>
              </w:rPr>
              <w:t>手指、触摸笔等不</w:t>
            </w:r>
            <w:r>
              <w:rPr>
                <w:rFonts w:hint="eastAsia" w:ascii="宋体" w:hAnsi="宋体" w:cs="宋体"/>
                <w:sz w:val="20"/>
                <w:szCs w:val="20"/>
              </w:rPr>
              <w:t>透光</w:t>
            </w:r>
            <w:r>
              <w:rPr>
                <w:rFonts w:ascii="宋体" w:hAnsi="宋体" w:cs="宋体"/>
                <w:sz w:val="20"/>
                <w:szCs w:val="20"/>
              </w:rPr>
              <w:t>物体；</w:t>
            </w:r>
          </w:p>
          <w:p>
            <w:pPr>
              <w:rPr>
                <w:rFonts w:ascii="宋体" w:hAnsi="宋体" w:cs="宋体"/>
                <w:sz w:val="20"/>
                <w:szCs w:val="20"/>
              </w:rPr>
            </w:pPr>
            <w:r>
              <w:rPr>
                <w:rFonts w:hint="eastAsia" w:ascii="宋体" w:hAnsi="宋体" w:cs="宋体"/>
                <w:sz w:val="20"/>
                <w:szCs w:val="20"/>
              </w:rPr>
              <w:t>16、</w:t>
            </w:r>
            <w:r>
              <w:rPr>
                <w:rFonts w:ascii="宋体" w:hAnsi="宋体" w:cs="宋体"/>
                <w:sz w:val="20"/>
                <w:szCs w:val="20"/>
              </w:rPr>
              <w:t>触摸次数：无限次；</w:t>
            </w:r>
          </w:p>
          <w:p>
            <w:pPr>
              <w:rPr>
                <w:rFonts w:ascii="宋体" w:hAnsi="宋体" w:cs="宋体"/>
                <w:sz w:val="20"/>
                <w:szCs w:val="20"/>
              </w:rPr>
            </w:pPr>
            <w:r>
              <w:rPr>
                <w:rFonts w:hint="eastAsia" w:ascii="宋体" w:hAnsi="宋体" w:cs="宋体"/>
                <w:sz w:val="20"/>
                <w:szCs w:val="20"/>
              </w:rPr>
              <w:t>17、</w:t>
            </w:r>
            <w:r>
              <w:rPr>
                <w:rFonts w:hint="eastAsia"/>
              </w:rPr>
              <w:t>▲</w:t>
            </w:r>
            <w:r>
              <w:rPr>
                <w:rFonts w:ascii="宋体" w:hAnsi="宋体" w:cs="宋体"/>
                <w:sz w:val="20"/>
                <w:szCs w:val="20"/>
              </w:rPr>
              <w:t>触摸精度：</w:t>
            </w:r>
            <w:r>
              <w:rPr>
                <w:rFonts w:hint="eastAsia" w:ascii="宋体" w:hAnsi="宋体" w:cs="宋体"/>
                <w:sz w:val="20"/>
                <w:szCs w:val="20"/>
              </w:rPr>
              <w:t>≤1</w:t>
            </w:r>
            <w:r>
              <w:rPr>
                <w:rFonts w:ascii="宋体" w:hAnsi="宋体" w:cs="宋体"/>
                <w:sz w:val="20"/>
                <w:szCs w:val="20"/>
              </w:rPr>
              <w:t>mm；</w:t>
            </w:r>
            <w:r>
              <w:rPr>
                <w:rFonts w:hint="eastAsia" w:ascii="宋体" w:hAnsi="宋体" w:cs="宋体"/>
                <w:sz w:val="20"/>
                <w:szCs w:val="20"/>
              </w:rPr>
              <w:t>（</w:t>
            </w:r>
            <w:r>
              <w:rPr>
                <w:rFonts w:ascii="宋体" w:hAnsi="宋体" w:cs="宋体"/>
                <w:sz w:val="20"/>
                <w:szCs w:val="20"/>
              </w:rPr>
              <w:t>需提供国家权威机构出具的检测证明</w:t>
            </w:r>
            <w:r>
              <w:rPr>
                <w:rFonts w:hint="eastAsia" w:ascii="宋体" w:hAnsi="宋体" w:cs="宋体"/>
                <w:sz w:val="20"/>
                <w:szCs w:val="20"/>
              </w:rPr>
              <w:t>）</w:t>
            </w:r>
          </w:p>
          <w:p>
            <w:pPr>
              <w:rPr>
                <w:rFonts w:ascii="宋体" w:hAnsi="宋体" w:cs="宋体"/>
                <w:sz w:val="20"/>
                <w:szCs w:val="20"/>
              </w:rPr>
            </w:pPr>
            <w:r>
              <w:rPr>
                <w:rFonts w:hint="eastAsia" w:ascii="宋体" w:hAnsi="宋体" w:cs="宋体"/>
                <w:sz w:val="20"/>
                <w:szCs w:val="20"/>
              </w:rPr>
              <w:t>18、</w:t>
            </w:r>
            <w:r>
              <w:rPr>
                <w:rFonts w:ascii="宋体" w:hAnsi="宋体" w:cs="宋体"/>
                <w:sz w:val="20"/>
                <w:szCs w:val="20"/>
              </w:rPr>
              <w:t>表面硬度：物理钢化莫氏7级；</w:t>
            </w:r>
          </w:p>
          <w:p>
            <w:pPr>
              <w:rPr>
                <w:rFonts w:ascii="宋体" w:hAnsi="宋体" w:cs="宋体"/>
                <w:sz w:val="20"/>
                <w:szCs w:val="20"/>
              </w:rPr>
            </w:pPr>
            <w:r>
              <w:rPr>
                <w:rFonts w:hint="eastAsia" w:ascii="宋体" w:hAnsi="宋体" w:cs="宋体"/>
                <w:sz w:val="20"/>
                <w:szCs w:val="20"/>
              </w:rPr>
              <w:t>19、</w:t>
            </w:r>
            <w:r>
              <w:rPr>
                <w:rFonts w:ascii="宋体" w:hAnsi="宋体" w:cs="宋体"/>
                <w:sz w:val="20"/>
                <w:szCs w:val="20"/>
              </w:rPr>
              <w:t>最长使用时间：</w:t>
            </w:r>
            <w:r>
              <w:rPr>
                <w:rFonts w:hint="eastAsia" w:ascii="宋体" w:hAnsi="宋体" w:cs="宋体"/>
                <w:sz w:val="20"/>
                <w:szCs w:val="20"/>
              </w:rPr>
              <w:t>24</w:t>
            </w:r>
            <w:r>
              <w:rPr>
                <w:rFonts w:ascii="宋体" w:hAnsi="宋体" w:cs="宋体"/>
                <w:sz w:val="20"/>
                <w:szCs w:val="20"/>
              </w:rPr>
              <w:t>小时/天；</w:t>
            </w:r>
            <w:r>
              <w:rPr>
                <w:rFonts w:hint="eastAsia" w:ascii="宋体" w:hAnsi="宋体" w:cs="宋体"/>
                <w:sz w:val="20"/>
                <w:szCs w:val="20"/>
              </w:rPr>
              <w:t>（</w:t>
            </w:r>
            <w:r>
              <w:rPr>
                <w:rFonts w:ascii="宋体" w:hAnsi="宋体" w:cs="宋体"/>
                <w:sz w:val="20"/>
                <w:szCs w:val="20"/>
              </w:rPr>
              <w:t>需提供国家权威机构出具的检测证明</w:t>
            </w:r>
            <w:r>
              <w:rPr>
                <w:rFonts w:hint="eastAsia" w:ascii="宋体" w:hAnsi="宋体" w:cs="宋体"/>
                <w:sz w:val="20"/>
                <w:szCs w:val="20"/>
              </w:rPr>
              <w:t>）</w:t>
            </w:r>
          </w:p>
          <w:p>
            <w:pPr>
              <w:rPr>
                <w:rFonts w:ascii="宋体" w:hAnsi="宋体" w:cs="宋体"/>
                <w:sz w:val="20"/>
                <w:szCs w:val="20"/>
              </w:rPr>
            </w:pPr>
            <w:r>
              <w:rPr>
                <w:rFonts w:hint="eastAsia" w:ascii="宋体" w:hAnsi="宋体" w:cs="宋体"/>
                <w:sz w:val="20"/>
                <w:szCs w:val="20"/>
              </w:rPr>
              <w:t>20、</w:t>
            </w:r>
            <w:r>
              <w:rPr>
                <w:rFonts w:ascii="宋体" w:hAnsi="宋体" w:cs="宋体"/>
                <w:sz w:val="20"/>
                <w:szCs w:val="20"/>
              </w:rPr>
              <w:t>抗遮挡性</w:t>
            </w:r>
            <w:r>
              <w:rPr>
                <w:rFonts w:hint="eastAsia" w:ascii="宋体" w:hAnsi="宋体" w:cs="宋体"/>
                <w:sz w:val="20"/>
                <w:szCs w:val="20"/>
              </w:rPr>
              <w:t>：触摸一体机在书写触摸时，遮挡屏体侧栏1点、2点，书写不断线、触摸正常使用</w:t>
            </w:r>
            <w:r>
              <w:rPr>
                <w:rFonts w:ascii="宋体" w:hAnsi="宋体" w:cs="宋体"/>
                <w:sz w:val="20"/>
                <w:szCs w:val="20"/>
              </w:rPr>
              <w:t>；</w:t>
            </w:r>
            <w:r>
              <w:rPr>
                <w:rFonts w:hint="eastAsia" w:ascii="宋体" w:hAnsi="宋体" w:cs="宋体"/>
                <w:sz w:val="20"/>
                <w:szCs w:val="20"/>
              </w:rPr>
              <w:t>（</w:t>
            </w:r>
            <w:r>
              <w:rPr>
                <w:rFonts w:ascii="宋体" w:hAnsi="宋体" w:cs="宋体"/>
                <w:sz w:val="20"/>
                <w:szCs w:val="20"/>
              </w:rPr>
              <w:t>需提供国家权威机构出具的检测证明</w:t>
            </w:r>
            <w:r>
              <w:rPr>
                <w:rFonts w:hint="eastAsia" w:ascii="宋体" w:hAnsi="宋体" w:cs="宋体"/>
                <w:sz w:val="20"/>
                <w:szCs w:val="20"/>
              </w:rPr>
              <w:t>）</w:t>
            </w:r>
          </w:p>
          <w:p>
            <w:pPr>
              <w:rPr>
                <w:rFonts w:ascii="宋体" w:hAnsi="宋体" w:cs="宋体"/>
                <w:sz w:val="20"/>
                <w:szCs w:val="20"/>
              </w:rPr>
            </w:pPr>
            <w:r>
              <w:rPr>
                <w:rFonts w:hint="eastAsia" w:ascii="宋体" w:hAnsi="宋体" w:cs="宋体"/>
                <w:sz w:val="20"/>
                <w:szCs w:val="20"/>
              </w:rPr>
              <w:t>21、</w:t>
            </w:r>
            <w:r>
              <w:rPr>
                <w:rFonts w:ascii="宋体" w:hAnsi="宋体" w:cs="宋体"/>
                <w:sz w:val="20"/>
                <w:szCs w:val="20"/>
              </w:rPr>
              <w:t>抗强光、阳光性</w:t>
            </w:r>
            <w:r>
              <w:rPr>
                <w:rFonts w:hint="eastAsia" w:ascii="宋体" w:hAnsi="宋体" w:cs="宋体"/>
                <w:sz w:val="20"/>
                <w:szCs w:val="20"/>
              </w:rPr>
              <w:t>；（</w:t>
            </w:r>
            <w:r>
              <w:rPr>
                <w:rFonts w:ascii="宋体" w:hAnsi="宋体" w:cs="宋体"/>
                <w:sz w:val="20"/>
                <w:szCs w:val="20"/>
              </w:rPr>
              <w:t>需提供国家权威机构出具的检测证明</w:t>
            </w:r>
            <w:r>
              <w:rPr>
                <w:rFonts w:hint="eastAsia" w:ascii="宋体" w:hAnsi="宋体" w:cs="宋体"/>
                <w:sz w:val="20"/>
                <w:szCs w:val="20"/>
              </w:rPr>
              <w:t>）</w:t>
            </w:r>
          </w:p>
          <w:p>
            <w:pPr>
              <w:rPr>
                <w:rFonts w:ascii="宋体" w:hAnsi="宋体" w:cs="宋体"/>
                <w:sz w:val="20"/>
                <w:szCs w:val="20"/>
              </w:rPr>
            </w:pPr>
            <w:r>
              <w:rPr>
                <w:rFonts w:hint="eastAsia" w:ascii="宋体" w:hAnsi="宋体" w:cs="宋体"/>
                <w:sz w:val="20"/>
                <w:szCs w:val="20"/>
              </w:rPr>
              <w:t>22、</w:t>
            </w:r>
            <w:r>
              <w:rPr>
                <w:rFonts w:ascii="宋体" w:hAnsi="宋体" w:cs="宋体"/>
                <w:sz w:val="20"/>
                <w:szCs w:val="20"/>
              </w:rPr>
              <w:t>触摸框内置一体成型</w:t>
            </w:r>
            <w:r>
              <w:rPr>
                <w:rFonts w:hint="eastAsia" w:ascii="宋体" w:hAnsi="宋体" w:cs="宋体"/>
                <w:sz w:val="20"/>
                <w:szCs w:val="20"/>
              </w:rPr>
              <w:t>；</w:t>
            </w:r>
          </w:p>
          <w:p>
            <w:pPr>
              <w:rPr>
                <w:rFonts w:ascii="宋体" w:hAnsi="宋体" w:cs="宋体"/>
                <w:sz w:val="20"/>
                <w:szCs w:val="20"/>
              </w:rPr>
            </w:pPr>
            <w:r>
              <w:rPr>
                <w:rFonts w:hint="eastAsia" w:ascii="宋体" w:hAnsi="宋体" w:cs="宋体"/>
                <w:sz w:val="20"/>
                <w:szCs w:val="20"/>
              </w:rPr>
              <w:t>23、</w:t>
            </w:r>
            <w:r>
              <w:rPr>
                <w:rFonts w:ascii="宋体" w:hAnsi="宋体" w:cs="宋体"/>
                <w:sz w:val="20"/>
                <w:szCs w:val="20"/>
              </w:rPr>
              <w:t>设备整体、边缘和四角无锐边和尖角；</w:t>
            </w:r>
          </w:p>
          <w:p>
            <w:pPr>
              <w:rPr>
                <w:rFonts w:ascii="宋体" w:hAnsi="宋体" w:cs="宋体"/>
                <w:sz w:val="20"/>
                <w:szCs w:val="20"/>
              </w:rPr>
            </w:pPr>
            <w:r>
              <w:rPr>
                <w:rFonts w:hint="eastAsia" w:ascii="宋体" w:hAnsi="宋体" w:cs="宋体"/>
                <w:sz w:val="20"/>
                <w:szCs w:val="20"/>
              </w:rPr>
              <w:t>24、OPS</w:t>
            </w:r>
            <w:r>
              <w:rPr>
                <w:rFonts w:ascii="宋体" w:hAnsi="宋体" w:cs="宋体"/>
                <w:sz w:val="20"/>
                <w:szCs w:val="20"/>
              </w:rPr>
              <w:t>电脑</w:t>
            </w:r>
            <w:r>
              <w:rPr>
                <w:rFonts w:hint="eastAsia" w:ascii="宋体" w:hAnsi="宋体" w:cs="宋体"/>
                <w:sz w:val="20"/>
                <w:szCs w:val="20"/>
              </w:rPr>
              <w:t>（选配）</w:t>
            </w:r>
            <w:r>
              <w:rPr>
                <w:rFonts w:ascii="宋体" w:hAnsi="宋体" w:cs="宋体"/>
                <w:sz w:val="20"/>
                <w:szCs w:val="20"/>
              </w:rPr>
              <w:t>：</w:t>
            </w:r>
            <w:r>
              <w:rPr>
                <w:rFonts w:hint="eastAsia" w:ascii="宋体" w:hAnsi="宋体" w:cs="宋体"/>
                <w:sz w:val="20"/>
                <w:szCs w:val="20"/>
              </w:rPr>
              <w:t>本次不配置</w:t>
            </w:r>
          </w:p>
          <w:p>
            <w:pPr>
              <w:rPr>
                <w:rFonts w:ascii="宋体" w:hAnsi="宋体" w:cs="宋体"/>
                <w:sz w:val="20"/>
                <w:szCs w:val="20"/>
              </w:rPr>
            </w:pPr>
            <w:r>
              <w:rPr>
                <w:rFonts w:hint="eastAsia" w:ascii="宋体" w:hAnsi="宋体" w:cs="宋体"/>
                <w:sz w:val="20"/>
                <w:szCs w:val="20"/>
              </w:rPr>
              <w:t>25、整机处于任意通道下，在屏幕两侧向屏内滑动可快速调出触摸便捷菜单，包括实现信源通道切换、返回、安卓主界面、工具栏等操作，工具栏具有音量调节、屏幕画面截屏、文件管理器、系统设置、画面批注的功能；</w:t>
            </w:r>
          </w:p>
          <w:p>
            <w:pPr>
              <w:rPr>
                <w:rFonts w:ascii="宋体" w:hAnsi="宋体" w:cs="宋体"/>
                <w:sz w:val="20"/>
                <w:szCs w:val="20"/>
              </w:rPr>
            </w:pPr>
            <w:r>
              <w:rPr>
                <w:rFonts w:hint="eastAsia" w:ascii="宋体" w:hAnsi="宋体" w:cs="宋体"/>
                <w:sz w:val="20"/>
                <w:szCs w:val="20"/>
              </w:rPr>
              <w:t>26、整机支持任意通道进行屏幕画面截屏功能；</w:t>
            </w:r>
          </w:p>
          <w:p>
            <w:pPr>
              <w:rPr>
                <w:rFonts w:ascii="宋体" w:hAnsi="宋体" w:cs="宋体"/>
                <w:sz w:val="20"/>
                <w:szCs w:val="20"/>
              </w:rPr>
            </w:pPr>
            <w:r>
              <w:rPr>
                <w:rFonts w:hint="eastAsia" w:ascii="宋体" w:hAnsi="宋体" w:cs="宋体"/>
                <w:sz w:val="20"/>
                <w:szCs w:val="20"/>
              </w:rPr>
              <w:t>27、整机支持任意通道进行画面批注功能，支持十点书写批注、智能手势擦除；</w:t>
            </w:r>
          </w:p>
          <w:p>
            <w:pPr>
              <w:rPr>
                <w:rFonts w:ascii="宋体" w:hAnsi="宋体" w:cs="宋体"/>
                <w:sz w:val="20"/>
                <w:szCs w:val="20"/>
              </w:rPr>
            </w:pPr>
            <w:r>
              <w:rPr>
                <w:rFonts w:hint="eastAsia" w:ascii="宋体" w:hAnsi="宋体" w:cs="宋体"/>
                <w:sz w:val="20"/>
                <w:szCs w:val="20"/>
              </w:rPr>
              <w:t>28、</w:t>
            </w:r>
            <w:r>
              <w:rPr>
                <w:rFonts w:hint="eastAsia"/>
              </w:rPr>
              <w:t>▲</w:t>
            </w:r>
            <w:r>
              <w:rPr>
                <w:rFonts w:hint="eastAsia" w:ascii="宋体" w:hAnsi="宋体" w:cs="宋体"/>
                <w:sz w:val="20"/>
                <w:szCs w:val="20"/>
              </w:rPr>
              <w:t>具有无线传屏功能，支持IOS与安卓系统的手机、平板无线传屏，笔记本可通过传屏器一键传屏，传屏器免驱即插即用，按一下即可将电脑上的PPT、图片、视频、声音和触控信号直接投到会议一体机屏幕上，可实现双向操作，通过大屏可以反向对电脑进行控制；</w:t>
            </w:r>
          </w:p>
          <w:p>
            <w:pPr>
              <w:rPr>
                <w:rFonts w:ascii="宋体" w:hAnsi="宋体" w:cs="宋体"/>
                <w:sz w:val="20"/>
                <w:szCs w:val="20"/>
              </w:rPr>
            </w:pPr>
            <w:r>
              <w:rPr>
                <w:rFonts w:hint="eastAsia" w:ascii="宋体" w:hAnsi="宋体" w:cs="宋体"/>
                <w:sz w:val="20"/>
                <w:szCs w:val="20"/>
              </w:rPr>
              <w:t>29、在安卓系统下，能够自动识别归类本机内的图片、音乐、视频、文档、应用等文件，可对不同文件进行快速的查找及管理；</w:t>
            </w:r>
          </w:p>
          <w:p>
            <w:pPr>
              <w:rPr>
                <w:rFonts w:ascii="宋体" w:hAnsi="宋体" w:cs="宋体"/>
                <w:sz w:val="20"/>
                <w:szCs w:val="20"/>
              </w:rPr>
            </w:pPr>
            <w:r>
              <w:rPr>
                <w:rFonts w:hint="eastAsia" w:ascii="宋体" w:hAnsi="宋体" w:cs="宋体"/>
                <w:sz w:val="20"/>
                <w:szCs w:val="20"/>
              </w:rPr>
              <w:t>30、无PC状态下，内置安卓操作系统可实现常用的教学功能，如白板书写、无线传屏、网页浏览、时钟等；</w:t>
            </w:r>
          </w:p>
          <w:p>
            <w:pPr>
              <w:rPr>
                <w:rFonts w:ascii="宋体" w:hAnsi="宋体" w:cs="宋体"/>
                <w:sz w:val="20"/>
                <w:szCs w:val="20"/>
              </w:rPr>
            </w:pPr>
            <w:r>
              <w:rPr>
                <w:rFonts w:hint="eastAsia" w:ascii="宋体" w:hAnsi="宋体" w:cs="宋体"/>
                <w:sz w:val="20"/>
                <w:szCs w:val="20"/>
              </w:rPr>
              <w:t>31、系统可自建WIFI热点，可选择5G与2.4G频段，便于手机、pad端无线传屏；</w:t>
            </w:r>
          </w:p>
          <w:p>
            <w:pPr>
              <w:rPr>
                <w:rFonts w:ascii="宋体" w:hAnsi="宋体" w:cs="宋体"/>
                <w:sz w:val="20"/>
                <w:szCs w:val="20"/>
              </w:rPr>
            </w:pPr>
            <w:r>
              <w:rPr>
                <w:rFonts w:hint="eastAsia" w:ascii="宋体" w:hAnsi="宋体" w:cs="宋体"/>
                <w:sz w:val="20"/>
                <w:szCs w:val="20"/>
              </w:rPr>
              <w:t>会议白板软件：</w:t>
            </w:r>
          </w:p>
          <w:p>
            <w:pPr>
              <w:rPr>
                <w:rFonts w:ascii="宋体" w:hAnsi="宋体" w:cs="宋体"/>
                <w:sz w:val="20"/>
                <w:szCs w:val="20"/>
              </w:rPr>
            </w:pPr>
            <w:r>
              <w:rPr>
                <w:rFonts w:hint="eastAsia" w:ascii="宋体" w:hAnsi="宋体" w:cs="宋体"/>
                <w:sz w:val="20"/>
                <w:szCs w:val="20"/>
              </w:rPr>
              <w:t>1、内置专业、简单、便捷的白板软件，十点书写批注，互不干扰；</w:t>
            </w:r>
          </w:p>
          <w:p>
            <w:pPr>
              <w:rPr>
                <w:rFonts w:ascii="宋体" w:hAnsi="宋体" w:cs="宋体"/>
                <w:sz w:val="20"/>
                <w:szCs w:val="20"/>
              </w:rPr>
            </w:pPr>
            <w:r>
              <w:rPr>
                <w:rFonts w:hint="eastAsia" w:ascii="宋体" w:hAnsi="宋体" w:cs="宋体"/>
                <w:sz w:val="20"/>
                <w:szCs w:val="20"/>
              </w:rPr>
              <w:t>2、具有多种白板书写背景选择，可选择多种背景颜色及背景图案，内置图案包括篮球场图案、足球场图案、拼音四线格图案、音乐五线谱图案等；</w:t>
            </w:r>
          </w:p>
          <w:p>
            <w:pPr>
              <w:rPr>
                <w:rFonts w:ascii="宋体" w:hAnsi="宋体" w:cs="宋体"/>
                <w:sz w:val="20"/>
                <w:szCs w:val="20"/>
              </w:rPr>
            </w:pPr>
            <w:r>
              <w:rPr>
                <w:rFonts w:hint="eastAsia" w:ascii="宋体" w:hAnsi="宋体" w:cs="宋体"/>
                <w:sz w:val="20"/>
                <w:szCs w:val="20"/>
              </w:rPr>
              <w:t>3、支持画笔的选择设置：包括画笔的粗细、画笔的颜色和手势擦除识别面积大小的设置；</w:t>
            </w:r>
          </w:p>
          <w:p>
            <w:pPr>
              <w:rPr>
                <w:rFonts w:ascii="宋体" w:hAnsi="宋体" w:cs="宋体"/>
                <w:sz w:val="20"/>
                <w:szCs w:val="20"/>
              </w:rPr>
            </w:pPr>
            <w:r>
              <w:rPr>
                <w:rFonts w:hint="eastAsia" w:ascii="宋体" w:hAnsi="宋体" w:cs="宋体"/>
                <w:sz w:val="20"/>
                <w:szCs w:val="20"/>
              </w:rPr>
              <w:t>4、</w:t>
            </w:r>
            <w:r>
              <w:rPr>
                <w:rFonts w:hint="eastAsia"/>
              </w:rPr>
              <w:t>▲</w:t>
            </w:r>
            <w:r>
              <w:rPr>
                <w:rFonts w:hint="eastAsia" w:ascii="宋体" w:hAnsi="宋体" w:cs="宋体"/>
                <w:sz w:val="20"/>
                <w:szCs w:val="20"/>
              </w:rPr>
              <w:t>智能手势擦除：能够识别手背接触屏幕面积的大小，出现不同大小的橡皮擦，便于老师操作，同时支持一键清屏；</w:t>
            </w:r>
          </w:p>
          <w:p>
            <w:pPr>
              <w:rPr>
                <w:rFonts w:ascii="宋体" w:hAnsi="宋体" w:cs="宋体"/>
                <w:sz w:val="20"/>
                <w:szCs w:val="20"/>
              </w:rPr>
            </w:pPr>
            <w:r>
              <w:rPr>
                <w:rFonts w:hint="eastAsia" w:ascii="宋体" w:hAnsi="宋体" w:cs="宋体"/>
                <w:sz w:val="20"/>
                <w:szCs w:val="20"/>
              </w:rPr>
              <w:t>5、支持多页面的书写：用户可自定义添加多个页面，实现多个页面的书写，且页面之间可前后任意切换；</w:t>
            </w:r>
          </w:p>
          <w:p>
            <w:pPr>
              <w:rPr>
                <w:rFonts w:ascii="宋体" w:hAnsi="宋体" w:cs="宋体"/>
                <w:sz w:val="20"/>
                <w:szCs w:val="20"/>
              </w:rPr>
            </w:pPr>
            <w:r>
              <w:rPr>
                <w:rFonts w:hint="eastAsia" w:ascii="宋体" w:hAnsi="宋体" w:cs="宋体"/>
                <w:sz w:val="20"/>
                <w:szCs w:val="20"/>
              </w:rPr>
              <w:t>6、授课记录及批注保存：保存的文件支持文件名修改，可保存当前页面存储到本地或U盘，同时支持保存所有页面存储到本地或U盘；</w:t>
            </w:r>
          </w:p>
          <w:p>
            <w:pPr>
              <w:rPr>
                <w:rFonts w:ascii="宋体" w:hAnsi="宋体" w:cs="宋体"/>
                <w:sz w:val="20"/>
                <w:szCs w:val="20"/>
              </w:rPr>
            </w:pPr>
            <w:r>
              <w:rPr>
                <w:rFonts w:hint="eastAsia" w:ascii="宋体" w:hAnsi="宋体" w:cs="宋体"/>
                <w:sz w:val="20"/>
                <w:szCs w:val="20"/>
              </w:rPr>
              <w:t>7、支持从本机及U盘导入图片文件，可两点实现对图片的放大、缩小、旋转、拖动等操作，确定导入后可在图片上进行圈画、批注等；</w:t>
            </w:r>
          </w:p>
          <w:p>
            <w:pPr>
              <w:rPr>
                <w:rFonts w:ascii="宋体" w:hAnsi="宋体" w:cs="宋体"/>
                <w:sz w:val="20"/>
                <w:szCs w:val="20"/>
              </w:rPr>
            </w:pPr>
            <w:r>
              <w:rPr>
                <w:rFonts w:hint="eastAsia" w:ascii="宋体" w:hAnsi="宋体" w:cs="宋体"/>
                <w:sz w:val="20"/>
                <w:szCs w:val="20"/>
              </w:rPr>
              <w:t>8、支持聚光灯辅助工具，可对需要突出的内容做重点显示，屏幕的其他部分为暗光，可根据需要对聚光区域进行放大、缩小、拖动等操作。</w:t>
            </w:r>
          </w:p>
          <w:p>
            <w:pPr>
              <w:rPr>
                <w:rFonts w:ascii="宋体" w:hAnsi="宋体" w:cs="宋体"/>
                <w:sz w:val="20"/>
                <w:szCs w:val="20"/>
              </w:rPr>
            </w:pPr>
            <w:r>
              <w:rPr>
                <w:rFonts w:hint="eastAsia" w:ascii="宋体" w:hAnsi="宋体" w:cs="宋体"/>
                <w:sz w:val="20"/>
                <w:szCs w:val="20"/>
              </w:rPr>
              <w:t>9、支持屏幕三画面分割，每一个画面区域分别支持单点书写批注、单独选择画笔颜色、单独画面清屏，三个画面区域之间书写批注及操作互不干扰，不同区域之间无法跨越连续书写；</w:t>
            </w:r>
          </w:p>
          <w:p>
            <w:pPr>
              <w:rPr>
                <w:rFonts w:ascii="宋体" w:hAnsi="宋体" w:cs="宋体"/>
                <w:sz w:val="20"/>
                <w:szCs w:val="20"/>
              </w:rPr>
            </w:pPr>
            <w:r>
              <w:rPr>
                <w:rFonts w:hint="eastAsia" w:ascii="宋体" w:hAnsi="宋体" w:cs="宋体"/>
                <w:sz w:val="20"/>
                <w:szCs w:val="20"/>
              </w:rPr>
              <w:t>10、支持书写批注动作的撤销和返回，同时支持一键隐藏工具栏，避免触碰其他的功能，影响正常操作；</w:t>
            </w:r>
          </w:p>
          <w:p>
            <w:pPr>
              <w:rPr>
                <w:rFonts w:ascii="宋体" w:hAnsi="宋体" w:cs="宋体"/>
                <w:sz w:val="20"/>
                <w:szCs w:val="20"/>
              </w:rPr>
            </w:pPr>
            <w:r>
              <w:rPr>
                <w:rFonts w:hint="eastAsia" w:ascii="宋体" w:hAnsi="宋体" w:cs="宋体"/>
                <w:sz w:val="20"/>
                <w:szCs w:val="20"/>
              </w:rPr>
              <w:t>11、支持白板软件后台运行，重新打开后，原有的会议纪要、批注、书写等内容依然存在，不影响会议的进程；</w:t>
            </w:r>
          </w:p>
          <w:p>
            <w:pPr>
              <w:rPr>
                <w:rFonts w:ascii="宋体" w:hAnsi="宋体" w:cs="宋体"/>
                <w:sz w:val="20"/>
                <w:szCs w:val="20"/>
              </w:rPr>
            </w:pPr>
            <w:r>
              <w:rPr>
                <w:rFonts w:hint="eastAsia" w:ascii="宋体" w:hAnsi="宋体" w:cs="宋体"/>
                <w:sz w:val="20"/>
                <w:szCs w:val="20"/>
              </w:rPr>
              <w:t>为保证设备运行的稳定性需提供以下检测报告复印件并加盖公章：</w:t>
            </w:r>
          </w:p>
          <w:p>
            <w:pPr>
              <w:rPr>
                <w:rFonts w:ascii="宋体" w:hAnsi="宋体" w:cs="宋体"/>
                <w:sz w:val="20"/>
                <w:szCs w:val="20"/>
              </w:rPr>
            </w:pPr>
            <w:r>
              <w:rPr>
                <w:rFonts w:hint="eastAsia"/>
              </w:rPr>
              <w:t>▲</w:t>
            </w:r>
            <w:r>
              <w:rPr>
                <w:rFonts w:ascii="宋体" w:hAnsi="宋体" w:cs="宋体"/>
                <w:sz w:val="20"/>
                <w:szCs w:val="20"/>
              </w:rPr>
              <w:t>需提供</w:t>
            </w:r>
            <w:r>
              <w:rPr>
                <w:rFonts w:hint="eastAsia" w:ascii="宋体" w:hAnsi="宋体" w:cs="宋体"/>
                <w:sz w:val="20"/>
                <w:szCs w:val="20"/>
              </w:rPr>
              <w:t>教学仪器设备产品质量检测中心检测报告；</w:t>
            </w:r>
          </w:p>
          <w:p>
            <w:pPr>
              <w:rPr>
                <w:rFonts w:ascii="宋体" w:hAnsi="宋体" w:cs="宋体"/>
                <w:sz w:val="20"/>
                <w:szCs w:val="20"/>
              </w:rPr>
            </w:pPr>
            <w:r>
              <w:rPr>
                <w:rFonts w:hint="eastAsia"/>
              </w:rPr>
              <w:t>▲</w:t>
            </w:r>
            <w:r>
              <w:rPr>
                <w:rFonts w:ascii="宋体" w:hAnsi="宋体" w:cs="宋体"/>
                <w:sz w:val="20"/>
                <w:szCs w:val="20"/>
              </w:rPr>
              <w:t>需提供国家权威机构出具</w:t>
            </w:r>
            <w:r>
              <w:rPr>
                <w:rFonts w:hint="eastAsia" w:ascii="宋体" w:hAnsi="宋体" w:cs="宋体"/>
                <w:sz w:val="20"/>
                <w:szCs w:val="20"/>
              </w:rPr>
              <w:t>的触控一体机</w:t>
            </w:r>
            <w:r>
              <w:rPr>
                <w:rFonts w:ascii="宋体" w:hAnsi="宋体" w:cs="宋体"/>
                <w:sz w:val="20"/>
                <w:szCs w:val="20"/>
              </w:rPr>
              <w:t>的平均无故障时间的产品检验证书</w:t>
            </w:r>
            <w:r>
              <w:rPr>
                <w:rFonts w:hint="eastAsia" w:ascii="宋体" w:hAnsi="宋体" w:cs="宋体"/>
                <w:sz w:val="20"/>
                <w:szCs w:val="20"/>
              </w:rPr>
              <w:t>及检测报告；</w:t>
            </w:r>
          </w:p>
          <w:p>
            <w:pPr>
              <w:rPr>
                <w:rFonts w:ascii="宋体" w:hAnsi="宋体" w:cs="宋体"/>
                <w:sz w:val="20"/>
                <w:szCs w:val="20"/>
              </w:rPr>
            </w:pPr>
            <w:r>
              <w:rPr>
                <w:rFonts w:hint="eastAsia"/>
              </w:rPr>
              <w:t>▲</w:t>
            </w:r>
            <w:r>
              <w:rPr>
                <w:rFonts w:hint="eastAsia" w:ascii="宋体" w:hAnsi="宋体" w:cs="宋体"/>
                <w:sz w:val="20"/>
                <w:szCs w:val="20"/>
              </w:rPr>
              <w:t>需提供</w:t>
            </w:r>
            <w:r>
              <w:rPr>
                <w:rFonts w:ascii="宋体" w:hAnsi="宋体" w:cs="宋体"/>
                <w:sz w:val="20"/>
                <w:szCs w:val="20"/>
              </w:rPr>
              <w:t>产品工频磁场抗扰度检测报告</w:t>
            </w:r>
            <w:r>
              <w:rPr>
                <w:rFonts w:hint="eastAsia" w:ascii="宋体" w:hAnsi="宋体" w:cs="宋体"/>
                <w:sz w:val="20"/>
                <w:szCs w:val="20"/>
              </w:rPr>
              <w:t>；</w:t>
            </w:r>
          </w:p>
          <w:p>
            <w:pPr>
              <w:rPr>
                <w:rFonts w:ascii="宋体" w:hAnsi="宋体" w:cs="宋体"/>
                <w:sz w:val="20"/>
                <w:szCs w:val="20"/>
              </w:rPr>
            </w:pPr>
            <w:r>
              <w:rPr>
                <w:rFonts w:hint="eastAsia"/>
              </w:rPr>
              <w:t>▲</w:t>
            </w:r>
            <w:r>
              <w:rPr>
                <w:rFonts w:hint="eastAsia" w:ascii="宋体" w:hAnsi="宋体" w:cs="宋体"/>
                <w:sz w:val="20"/>
                <w:szCs w:val="20"/>
              </w:rPr>
              <w:t>需提供产品电源端子</w:t>
            </w:r>
            <w:r>
              <w:rPr>
                <w:rFonts w:ascii="宋体" w:hAnsi="宋体" w:cs="宋体"/>
                <w:sz w:val="20"/>
                <w:szCs w:val="20"/>
              </w:rPr>
              <w:t>传导骚扰检测报告</w:t>
            </w:r>
            <w:r>
              <w:rPr>
                <w:rFonts w:hint="eastAsia" w:ascii="宋体" w:hAnsi="宋体" w:cs="宋体"/>
                <w:sz w:val="20"/>
                <w:szCs w:val="20"/>
              </w:rPr>
              <w:t>；</w:t>
            </w:r>
          </w:p>
          <w:p>
            <w:pPr>
              <w:rPr>
                <w:rFonts w:ascii="宋体" w:hAnsi="宋体" w:cs="宋体"/>
                <w:sz w:val="20"/>
                <w:szCs w:val="20"/>
              </w:rPr>
            </w:pPr>
            <w:r>
              <w:rPr>
                <w:rFonts w:hint="eastAsia"/>
              </w:rPr>
              <w:t>▲</w:t>
            </w:r>
            <w:r>
              <w:rPr>
                <w:rFonts w:hint="eastAsia" w:ascii="宋体" w:hAnsi="宋体" w:cs="宋体"/>
                <w:sz w:val="20"/>
                <w:szCs w:val="20"/>
              </w:rPr>
              <w:t>需提供产品射频电磁场</w:t>
            </w:r>
            <w:r>
              <w:rPr>
                <w:rFonts w:ascii="宋体" w:hAnsi="宋体" w:cs="宋体"/>
                <w:sz w:val="20"/>
                <w:szCs w:val="20"/>
              </w:rPr>
              <w:t>辐射抗扰度</w:t>
            </w:r>
            <w:r>
              <w:rPr>
                <w:rFonts w:hint="eastAsia" w:ascii="宋体" w:hAnsi="宋体" w:cs="宋体"/>
                <w:sz w:val="20"/>
                <w:szCs w:val="20"/>
              </w:rPr>
              <w:t>试验，</w:t>
            </w:r>
            <w:r>
              <w:rPr>
                <w:rFonts w:ascii="宋体" w:hAnsi="宋体" w:cs="宋体"/>
                <w:sz w:val="20"/>
                <w:szCs w:val="20"/>
              </w:rPr>
              <w:t>电压暂降</w:t>
            </w:r>
            <w:r>
              <w:rPr>
                <w:rFonts w:hint="eastAsia" w:ascii="宋体" w:hAnsi="宋体" w:cs="宋体"/>
                <w:sz w:val="20"/>
                <w:szCs w:val="20"/>
              </w:rPr>
              <w:t>、短时</w:t>
            </w:r>
            <w:r>
              <w:rPr>
                <w:rFonts w:ascii="宋体" w:hAnsi="宋体" w:cs="宋体"/>
                <w:sz w:val="20"/>
                <w:szCs w:val="20"/>
              </w:rPr>
              <w:t>中断</w:t>
            </w:r>
            <w:r>
              <w:rPr>
                <w:rFonts w:hint="eastAsia" w:ascii="宋体" w:hAnsi="宋体" w:cs="宋体"/>
                <w:sz w:val="20"/>
                <w:szCs w:val="20"/>
              </w:rPr>
              <w:t>和电压变化抗扰度的产品</w:t>
            </w:r>
            <w:r>
              <w:rPr>
                <w:rFonts w:ascii="宋体" w:hAnsi="宋体" w:cs="宋体"/>
                <w:sz w:val="20"/>
                <w:szCs w:val="20"/>
              </w:rPr>
              <w:t>检测</w:t>
            </w:r>
            <w:r>
              <w:rPr>
                <w:rFonts w:hint="eastAsia" w:ascii="宋体" w:hAnsi="宋体" w:cs="宋体"/>
                <w:sz w:val="20"/>
                <w:szCs w:val="20"/>
              </w:rPr>
              <w:t>证书及检测</w:t>
            </w:r>
            <w:r>
              <w:rPr>
                <w:rFonts w:ascii="宋体" w:hAnsi="宋体" w:cs="宋体"/>
                <w:sz w:val="20"/>
                <w:szCs w:val="20"/>
              </w:rPr>
              <w:t>报告</w:t>
            </w:r>
            <w:r>
              <w:rPr>
                <w:rFonts w:hint="eastAsia" w:ascii="宋体" w:hAnsi="宋体" w:cs="宋体"/>
                <w:sz w:val="20"/>
                <w:szCs w:val="20"/>
              </w:rPr>
              <w:t>；</w:t>
            </w:r>
          </w:p>
        </w:tc>
        <w:tc>
          <w:tcPr>
            <w:tcW w:w="436" w:type="dxa"/>
            <w:vAlign w:val="center"/>
          </w:tcPr>
          <w:p>
            <w:pPr>
              <w:jc w:val="center"/>
              <w:rPr>
                <w:rFonts w:ascii="宋体" w:hAnsi="宋体" w:cs="宋体"/>
                <w:sz w:val="20"/>
                <w:szCs w:val="20"/>
              </w:rPr>
            </w:pPr>
            <w:r>
              <w:rPr>
                <w:rFonts w:hint="eastAsia" w:ascii="宋体" w:hAnsi="宋体" w:cs="宋体"/>
                <w:sz w:val="20"/>
                <w:szCs w:val="20"/>
              </w:rPr>
              <w:t>台</w:t>
            </w:r>
          </w:p>
        </w:tc>
        <w:tc>
          <w:tcPr>
            <w:tcW w:w="436" w:type="dxa"/>
            <w:vAlign w:val="center"/>
          </w:tcPr>
          <w:p>
            <w:pPr>
              <w:jc w:val="center"/>
              <w:rPr>
                <w:rFonts w:ascii="宋体" w:hAnsi="宋体" w:cs="宋体"/>
                <w:sz w:val="20"/>
                <w:szCs w:val="20"/>
              </w:rPr>
            </w:pPr>
            <w:r>
              <w:rPr>
                <w:rFonts w:hint="eastAsia" w:ascii="宋体" w:hAnsi="宋体" w:cs="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436" w:type="dxa"/>
            <w:vAlign w:val="center"/>
          </w:tcPr>
          <w:p>
            <w:pPr>
              <w:jc w:val="center"/>
              <w:rPr>
                <w:rFonts w:ascii="宋体" w:hAnsi="宋体" w:cs="宋体"/>
                <w:sz w:val="20"/>
                <w:szCs w:val="20"/>
              </w:rPr>
            </w:pPr>
            <w:r>
              <w:rPr>
                <w:rFonts w:hint="eastAsia" w:ascii="宋体" w:hAnsi="宋体" w:cs="宋体"/>
                <w:sz w:val="20"/>
                <w:szCs w:val="20"/>
              </w:rPr>
              <w:t>4</w:t>
            </w:r>
          </w:p>
        </w:tc>
        <w:tc>
          <w:tcPr>
            <w:tcW w:w="2146" w:type="dxa"/>
            <w:vAlign w:val="center"/>
          </w:tcPr>
          <w:p>
            <w:pPr>
              <w:jc w:val="center"/>
              <w:rPr>
                <w:rFonts w:ascii="宋体" w:hAnsi="宋体" w:cs="宋体"/>
                <w:sz w:val="20"/>
                <w:szCs w:val="20"/>
              </w:rPr>
            </w:pPr>
            <w:r>
              <w:rPr>
                <w:rFonts w:hint="eastAsia" w:ascii="宋体" w:hAnsi="宋体" w:cs="宋体"/>
                <w:sz w:val="20"/>
                <w:szCs w:val="20"/>
              </w:rPr>
              <w:t>固定挂架</w:t>
            </w:r>
          </w:p>
        </w:tc>
        <w:tc>
          <w:tcPr>
            <w:tcW w:w="5266" w:type="dxa"/>
            <w:vAlign w:val="center"/>
          </w:tcPr>
          <w:p>
            <w:pPr>
              <w:rPr>
                <w:rFonts w:ascii="宋体" w:hAnsi="宋体" w:cs="宋体"/>
                <w:sz w:val="20"/>
                <w:szCs w:val="20"/>
              </w:rPr>
            </w:pPr>
            <w:r>
              <w:rPr>
                <w:rFonts w:hint="eastAsia" w:ascii="宋体" w:hAnsi="宋体" w:cs="宋体"/>
                <w:sz w:val="20"/>
                <w:szCs w:val="20"/>
              </w:rPr>
              <w:t>可调式，长为0.72米，适用于孔距660*400mm以内</w:t>
            </w:r>
          </w:p>
        </w:tc>
        <w:tc>
          <w:tcPr>
            <w:tcW w:w="436" w:type="dxa"/>
            <w:vAlign w:val="center"/>
          </w:tcPr>
          <w:p>
            <w:pPr>
              <w:jc w:val="center"/>
              <w:rPr>
                <w:rFonts w:ascii="宋体" w:hAnsi="宋体" w:cs="宋体"/>
                <w:sz w:val="20"/>
                <w:szCs w:val="20"/>
              </w:rPr>
            </w:pPr>
            <w:r>
              <w:rPr>
                <w:rFonts w:hint="eastAsia" w:ascii="宋体" w:hAnsi="宋体" w:cs="宋体"/>
                <w:sz w:val="20"/>
                <w:szCs w:val="20"/>
              </w:rPr>
              <w:t>付</w:t>
            </w:r>
          </w:p>
        </w:tc>
        <w:tc>
          <w:tcPr>
            <w:tcW w:w="436" w:type="dxa"/>
            <w:vAlign w:val="center"/>
          </w:tcPr>
          <w:p>
            <w:pPr>
              <w:jc w:val="center"/>
              <w:rPr>
                <w:rFonts w:ascii="宋体" w:hAnsi="宋体" w:cs="宋体"/>
                <w:sz w:val="20"/>
                <w:szCs w:val="20"/>
              </w:rPr>
            </w:pPr>
            <w:r>
              <w:rPr>
                <w:rFonts w:hint="eastAsia" w:ascii="宋体" w:hAnsi="宋体" w:cs="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436" w:type="dxa"/>
            <w:vAlign w:val="center"/>
          </w:tcPr>
          <w:p>
            <w:pPr>
              <w:jc w:val="center"/>
              <w:rPr>
                <w:rFonts w:ascii="宋体" w:hAnsi="宋体" w:cs="宋体"/>
                <w:sz w:val="20"/>
                <w:szCs w:val="20"/>
              </w:rPr>
            </w:pPr>
            <w:r>
              <w:rPr>
                <w:rFonts w:hint="eastAsia" w:ascii="宋体" w:hAnsi="宋体" w:cs="宋体"/>
                <w:sz w:val="20"/>
                <w:szCs w:val="20"/>
              </w:rPr>
              <w:t>5</w:t>
            </w:r>
          </w:p>
        </w:tc>
        <w:tc>
          <w:tcPr>
            <w:tcW w:w="2146" w:type="dxa"/>
            <w:vAlign w:val="center"/>
          </w:tcPr>
          <w:p>
            <w:pPr>
              <w:jc w:val="center"/>
              <w:rPr>
                <w:rFonts w:ascii="宋体" w:hAnsi="宋体" w:cs="宋体"/>
                <w:sz w:val="20"/>
                <w:szCs w:val="20"/>
              </w:rPr>
            </w:pPr>
            <w:r>
              <w:rPr>
                <w:rFonts w:hint="eastAsia" w:ascii="宋体" w:hAnsi="宋体" w:cs="宋体"/>
                <w:sz w:val="20"/>
                <w:szCs w:val="20"/>
              </w:rPr>
              <w:t>机柜</w:t>
            </w:r>
          </w:p>
        </w:tc>
        <w:tc>
          <w:tcPr>
            <w:tcW w:w="5266" w:type="dxa"/>
            <w:vAlign w:val="center"/>
          </w:tcPr>
          <w:p>
            <w:pPr>
              <w:rPr>
                <w:rFonts w:ascii="宋体" w:hAnsi="宋体" w:cs="宋体"/>
                <w:sz w:val="20"/>
                <w:szCs w:val="20"/>
              </w:rPr>
            </w:pPr>
            <w:r>
              <w:rPr>
                <w:rFonts w:hint="eastAsia" w:ascii="宋体" w:hAnsi="宋体" w:cs="宋体"/>
                <w:sz w:val="20"/>
                <w:szCs w:val="20"/>
              </w:rPr>
              <w:t>27U高密度六角网孔前后门；全部选用SPCC优质冷轧钢板制作;表面处理:脱脂、酸洗、防锈磷化、纯水清洗、静电喷塑;静载800KG；防护等级：IP20,可方便地安装配电单元，结构坚固,最大静载达500KG</w:t>
            </w:r>
          </w:p>
        </w:tc>
        <w:tc>
          <w:tcPr>
            <w:tcW w:w="436" w:type="dxa"/>
            <w:vAlign w:val="center"/>
          </w:tcPr>
          <w:p>
            <w:pPr>
              <w:jc w:val="center"/>
              <w:rPr>
                <w:rFonts w:ascii="宋体" w:hAnsi="宋体" w:cs="宋体"/>
                <w:sz w:val="20"/>
                <w:szCs w:val="20"/>
              </w:rPr>
            </w:pPr>
            <w:r>
              <w:rPr>
                <w:rFonts w:hint="eastAsia" w:ascii="宋体" w:hAnsi="宋体" w:cs="宋体"/>
                <w:sz w:val="20"/>
                <w:szCs w:val="20"/>
              </w:rPr>
              <w:t>台</w:t>
            </w:r>
          </w:p>
        </w:tc>
        <w:tc>
          <w:tcPr>
            <w:tcW w:w="436" w:type="dxa"/>
            <w:vAlign w:val="center"/>
          </w:tcPr>
          <w:p>
            <w:pPr>
              <w:jc w:val="center"/>
              <w:rPr>
                <w:rFonts w:ascii="宋体" w:hAnsi="宋体" w:cs="宋体"/>
                <w:sz w:val="20"/>
                <w:szCs w:val="20"/>
              </w:rPr>
            </w:pPr>
            <w:r>
              <w:rPr>
                <w:rFonts w:hint="eastAsia" w:ascii="宋体" w:hAnsi="宋体" w:cs="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436" w:type="dxa"/>
            <w:vAlign w:val="center"/>
          </w:tcPr>
          <w:p>
            <w:pPr>
              <w:jc w:val="center"/>
              <w:rPr>
                <w:rFonts w:ascii="宋体" w:hAnsi="宋体" w:cs="宋体"/>
                <w:sz w:val="20"/>
                <w:szCs w:val="20"/>
              </w:rPr>
            </w:pPr>
            <w:r>
              <w:rPr>
                <w:rFonts w:hint="eastAsia" w:ascii="宋体" w:hAnsi="宋体" w:cs="宋体"/>
                <w:sz w:val="20"/>
                <w:szCs w:val="20"/>
              </w:rPr>
              <w:t>6</w:t>
            </w:r>
          </w:p>
        </w:tc>
        <w:tc>
          <w:tcPr>
            <w:tcW w:w="2146" w:type="dxa"/>
            <w:vAlign w:val="center"/>
          </w:tcPr>
          <w:p>
            <w:pPr>
              <w:jc w:val="center"/>
              <w:rPr>
                <w:rFonts w:ascii="宋体" w:hAnsi="宋体" w:cs="宋体"/>
                <w:sz w:val="20"/>
                <w:szCs w:val="20"/>
              </w:rPr>
            </w:pPr>
            <w:r>
              <w:rPr>
                <w:rFonts w:hint="eastAsia" w:ascii="宋体" w:hAnsi="宋体" w:cs="宋体"/>
                <w:sz w:val="20"/>
                <w:szCs w:val="20"/>
              </w:rPr>
              <w:t>无线键鼠</w:t>
            </w:r>
          </w:p>
        </w:tc>
        <w:tc>
          <w:tcPr>
            <w:tcW w:w="5266" w:type="dxa"/>
            <w:vAlign w:val="center"/>
          </w:tcPr>
          <w:p>
            <w:pPr>
              <w:rPr>
                <w:rFonts w:ascii="宋体" w:hAnsi="宋体" w:cs="宋体"/>
                <w:sz w:val="20"/>
                <w:szCs w:val="20"/>
              </w:rPr>
            </w:pPr>
            <w:r>
              <w:rPr>
                <w:rFonts w:hint="eastAsia" w:ascii="宋体" w:hAnsi="宋体" w:cs="宋体"/>
                <w:sz w:val="20"/>
                <w:szCs w:val="20"/>
              </w:rPr>
              <w:t>可靠2.4G连接，可连接远至10米</w:t>
            </w:r>
          </w:p>
        </w:tc>
        <w:tc>
          <w:tcPr>
            <w:tcW w:w="436" w:type="dxa"/>
            <w:vAlign w:val="center"/>
          </w:tcPr>
          <w:p>
            <w:pPr>
              <w:jc w:val="center"/>
              <w:rPr>
                <w:rFonts w:ascii="宋体" w:hAnsi="宋体" w:cs="宋体"/>
                <w:sz w:val="20"/>
                <w:szCs w:val="20"/>
              </w:rPr>
            </w:pPr>
            <w:r>
              <w:rPr>
                <w:rFonts w:hint="eastAsia" w:ascii="宋体" w:hAnsi="宋体" w:cs="宋体"/>
                <w:sz w:val="20"/>
                <w:szCs w:val="20"/>
              </w:rPr>
              <w:t>套</w:t>
            </w:r>
          </w:p>
        </w:tc>
        <w:tc>
          <w:tcPr>
            <w:tcW w:w="436" w:type="dxa"/>
            <w:vAlign w:val="center"/>
          </w:tcPr>
          <w:p>
            <w:pPr>
              <w:jc w:val="center"/>
              <w:rPr>
                <w:rFonts w:ascii="宋体" w:hAnsi="宋体" w:cs="宋体"/>
                <w:sz w:val="20"/>
                <w:szCs w:val="20"/>
              </w:rPr>
            </w:pPr>
            <w:r>
              <w:rPr>
                <w:rFonts w:hint="eastAsia" w:ascii="宋体" w:hAnsi="宋体" w:cs="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436" w:type="dxa"/>
            <w:vAlign w:val="center"/>
          </w:tcPr>
          <w:p>
            <w:pPr>
              <w:jc w:val="center"/>
              <w:rPr>
                <w:rFonts w:ascii="宋体" w:hAnsi="宋体" w:cs="宋体"/>
                <w:sz w:val="20"/>
                <w:szCs w:val="20"/>
              </w:rPr>
            </w:pPr>
            <w:r>
              <w:rPr>
                <w:rFonts w:hint="eastAsia" w:ascii="宋体" w:hAnsi="宋体" w:cs="宋体"/>
                <w:sz w:val="20"/>
                <w:szCs w:val="20"/>
              </w:rPr>
              <w:t>7</w:t>
            </w:r>
          </w:p>
        </w:tc>
        <w:tc>
          <w:tcPr>
            <w:tcW w:w="2146" w:type="dxa"/>
            <w:vAlign w:val="center"/>
          </w:tcPr>
          <w:p>
            <w:pPr>
              <w:jc w:val="center"/>
              <w:rPr>
                <w:rFonts w:ascii="宋体" w:hAnsi="宋体" w:cs="宋体"/>
                <w:sz w:val="20"/>
                <w:szCs w:val="20"/>
              </w:rPr>
            </w:pPr>
            <w:r>
              <w:rPr>
                <w:rFonts w:hint="eastAsia" w:ascii="宋体" w:hAnsi="宋体" w:cs="宋体"/>
                <w:sz w:val="20"/>
                <w:szCs w:val="20"/>
              </w:rPr>
              <w:t>无线投影器</w:t>
            </w:r>
          </w:p>
        </w:tc>
        <w:tc>
          <w:tcPr>
            <w:tcW w:w="5266" w:type="dxa"/>
            <w:vAlign w:val="center"/>
          </w:tcPr>
          <w:p>
            <w:pPr>
              <w:rPr>
                <w:rFonts w:ascii="宋体" w:hAnsi="宋体" w:cs="宋体"/>
                <w:sz w:val="20"/>
                <w:szCs w:val="20"/>
              </w:rPr>
            </w:pPr>
            <w:r>
              <w:rPr>
                <w:rFonts w:hint="eastAsia" w:ascii="宋体" w:hAnsi="宋体" w:cs="宋体"/>
                <w:sz w:val="20"/>
                <w:szCs w:val="20"/>
              </w:rPr>
              <w:t>1、支持全面：兼容Airplay、Miracast、Widi三大传输协议，手机/PC/平板无需安装任何软件即可实现投屏（Win7/XP系统除外）；</w:t>
            </w:r>
          </w:p>
          <w:p>
            <w:pPr>
              <w:rPr>
                <w:rFonts w:ascii="宋体" w:hAnsi="宋体" w:cs="宋体"/>
                <w:sz w:val="20"/>
                <w:szCs w:val="20"/>
              </w:rPr>
            </w:pPr>
            <w:r>
              <w:rPr>
                <w:rFonts w:hint="eastAsia" w:ascii="宋体" w:hAnsi="宋体" w:cs="宋体"/>
                <w:sz w:val="20"/>
                <w:szCs w:val="20"/>
              </w:rPr>
              <w:t>2、</w:t>
            </w:r>
            <w:r>
              <w:rPr>
                <w:rFonts w:hint="eastAsia"/>
              </w:rPr>
              <w:t>▲</w:t>
            </w:r>
            <w:r>
              <w:rPr>
                <w:rFonts w:hint="eastAsia" w:ascii="宋体" w:hAnsi="宋体" w:cs="宋体"/>
                <w:sz w:val="20"/>
                <w:szCs w:val="20"/>
              </w:rPr>
              <w:t>低延时、4K自适应、支持Miracast多路、所有投屏方式均视音频同步；双网卡双频WIFI模块，自带AP功能，无需接入网络亦能满足不同设备即投屏又上网之需求；</w:t>
            </w:r>
          </w:p>
          <w:p>
            <w:pPr>
              <w:rPr>
                <w:rFonts w:ascii="宋体" w:hAnsi="宋体" w:cs="宋体"/>
                <w:sz w:val="20"/>
                <w:szCs w:val="20"/>
              </w:rPr>
            </w:pPr>
            <w:r>
              <w:rPr>
                <w:rFonts w:hint="eastAsia" w:ascii="宋体" w:hAnsi="宋体" w:cs="宋体"/>
                <w:sz w:val="20"/>
                <w:szCs w:val="20"/>
              </w:rPr>
              <w:t>3、除原生协议投屏，可另选配硬件发射端（Button）或软件客户端（BJcast），满足不同客户使用习惯及场景要求；</w:t>
            </w:r>
          </w:p>
          <w:p>
            <w:pPr>
              <w:rPr>
                <w:rFonts w:ascii="宋体" w:hAnsi="宋体" w:cs="宋体"/>
                <w:sz w:val="20"/>
                <w:szCs w:val="20"/>
              </w:rPr>
            </w:pPr>
            <w:r>
              <w:rPr>
                <w:rFonts w:hint="eastAsia" w:ascii="宋体" w:hAnsi="宋体" w:cs="宋体"/>
                <w:sz w:val="20"/>
                <w:szCs w:val="20"/>
              </w:rPr>
              <w:t>4、开机即可进行投屏/上网，无需任何繁杂设置；所有设备1-3步操作即实现投屏，支持四路（任意设备组合）投屏，所有投屏方式均视音频同步；</w:t>
            </w:r>
          </w:p>
          <w:p>
            <w:pPr>
              <w:rPr>
                <w:rFonts w:ascii="宋体" w:hAnsi="宋体" w:cs="宋体"/>
                <w:sz w:val="20"/>
                <w:szCs w:val="20"/>
              </w:rPr>
            </w:pPr>
            <w:r>
              <w:rPr>
                <w:rFonts w:hint="eastAsia" w:ascii="宋体" w:hAnsi="宋体" w:cs="宋体"/>
                <w:sz w:val="20"/>
                <w:szCs w:val="20"/>
              </w:rPr>
              <w:t>5、支持定时自动重启，杜绝长期待机运行不稳定隐患；</w:t>
            </w:r>
          </w:p>
          <w:p>
            <w:pPr>
              <w:rPr>
                <w:rFonts w:ascii="宋体" w:hAnsi="宋体" w:cs="宋体"/>
                <w:sz w:val="20"/>
                <w:szCs w:val="20"/>
              </w:rPr>
            </w:pPr>
            <w:r>
              <w:rPr>
                <w:rFonts w:hint="eastAsia" w:ascii="宋体" w:hAnsi="宋体" w:cs="宋体"/>
                <w:sz w:val="20"/>
                <w:szCs w:val="20"/>
              </w:rPr>
              <w:t>6、</w:t>
            </w:r>
            <w:r>
              <w:rPr>
                <w:rFonts w:hint="eastAsia"/>
              </w:rPr>
              <w:t>▲</w:t>
            </w:r>
            <w:r>
              <w:rPr>
                <w:rFonts w:hint="eastAsia" w:ascii="宋体" w:hAnsi="宋体" w:cs="宋体"/>
                <w:sz w:val="20"/>
                <w:szCs w:val="20"/>
              </w:rPr>
              <w:t>尺寸小巧充电宝亦可满足外出临时使用之供电需求；</w:t>
            </w:r>
          </w:p>
          <w:p>
            <w:pPr>
              <w:rPr>
                <w:rFonts w:ascii="宋体" w:hAnsi="宋体" w:cs="宋体"/>
                <w:sz w:val="20"/>
                <w:szCs w:val="20"/>
              </w:rPr>
            </w:pPr>
            <w:r>
              <w:rPr>
                <w:rFonts w:hint="eastAsia" w:ascii="宋体" w:hAnsi="宋体" w:cs="宋体"/>
                <w:sz w:val="20"/>
                <w:szCs w:val="20"/>
              </w:rPr>
              <w:t>7、出具由原生产厂家可以提供SDK集成的技术承诺函（盖章）；</w:t>
            </w:r>
          </w:p>
          <w:p>
            <w:pPr>
              <w:rPr>
                <w:rFonts w:ascii="宋体" w:hAnsi="宋体" w:cs="宋体"/>
                <w:sz w:val="20"/>
                <w:szCs w:val="20"/>
              </w:rPr>
            </w:pPr>
            <w:r>
              <w:rPr>
                <w:rFonts w:hint="eastAsia" w:ascii="宋体" w:hAnsi="宋体" w:cs="宋体"/>
                <w:sz w:val="20"/>
                <w:szCs w:val="20"/>
              </w:rPr>
              <w:t>8、提供原生产厂家出具的原厂质保叁年的质保函盖章原件。</w:t>
            </w:r>
          </w:p>
        </w:tc>
        <w:tc>
          <w:tcPr>
            <w:tcW w:w="436" w:type="dxa"/>
            <w:vAlign w:val="center"/>
          </w:tcPr>
          <w:p>
            <w:pPr>
              <w:jc w:val="center"/>
              <w:rPr>
                <w:rFonts w:ascii="宋体" w:hAnsi="宋体" w:cs="宋体"/>
                <w:sz w:val="20"/>
                <w:szCs w:val="20"/>
              </w:rPr>
            </w:pPr>
            <w:r>
              <w:rPr>
                <w:rFonts w:hint="eastAsia" w:ascii="宋体" w:hAnsi="宋体" w:cs="宋体"/>
                <w:sz w:val="20"/>
                <w:szCs w:val="20"/>
              </w:rPr>
              <w:t>台</w:t>
            </w:r>
          </w:p>
        </w:tc>
        <w:tc>
          <w:tcPr>
            <w:tcW w:w="436" w:type="dxa"/>
            <w:vAlign w:val="center"/>
          </w:tcPr>
          <w:p>
            <w:pPr>
              <w:jc w:val="center"/>
              <w:rPr>
                <w:rFonts w:ascii="宋体" w:hAnsi="宋体" w:cs="宋体"/>
                <w:sz w:val="20"/>
                <w:szCs w:val="20"/>
              </w:rPr>
            </w:pPr>
            <w:r>
              <w:rPr>
                <w:rFonts w:hint="eastAsia" w:ascii="宋体" w:hAnsi="宋体" w:cs="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436" w:type="dxa"/>
            <w:vAlign w:val="center"/>
          </w:tcPr>
          <w:p>
            <w:pPr>
              <w:jc w:val="center"/>
              <w:rPr>
                <w:rFonts w:ascii="宋体" w:hAnsi="宋体" w:cs="宋体"/>
                <w:sz w:val="20"/>
                <w:szCs w:val="20"/>
              </w:rPr>
            </w:pPr>
            <w:r>
              <w:rPr>
                <w:rFonts w:hint="eastAsia" w:ascii="宋体" w:hAnsi="宋体" w:cs="宋体"/>
                <w:sz w:val="20"/>
                <w:szCs w:val="20"/>
              </w:rPr>
              <w:t>8</w:t>
            </w:r>
          </w:p>
        </w:tc>
        <w:tc>
          <w:tcPr>
            <w:tcW w:w="2146" w:type="dxa"/>
            <w:vAlign w:val="center"/>
          </w:tcPr>
          <w:p>
            <w:pPr>
              <w:jc w:val="center"/>
              <w:rPr>
                <w:rFonts w:ascii="宋体" w:hAnsi="宋体" w:cs="宋体"/>
                <w:sz w:val="20"/>
                <w:szCs w:val="20"/>
              </w:rPr>
            </w:pPr>
            <w:r>
              <w:rPr>
                <w:rFonts w:hint="eastAsia" w:ascii="宋体" w:hAnsi="宋体" w:cs="宋体"/>
                <w:sz w:val="20"/>
                <w:szCs w:val="20"/>
              </w:rPr>
              <w:t>交换机</w:t>
            </w:r>
          </w:p>
        </w:tc>
        <w:tc>
          <w:tcPr>
            <w:tcW w:w="5266" w:type="dxa"/>
            <w:vAlign w:val="center"/>
          </w:tcPr>
          <w:p>
            <w:pPr>
              <w:rPr>
                <w:rFonts w:ascii="宋体" w:hAnsi="宋体" w:cs="宋体"/>
                <w:sz w:val="20"/>
                <w:szCs w:val="20"/>
              </w:rPr>
            </w:pPr>
            <w:r>
              <w:rPr>
                <w:rFonts w:hint="eastAsia" w:ascii="宋体" w:hAnsi="宋体"/>
                <w:sz w:val="18"/>
                <w:szCs w:val="18"/>
              </w:rPr>
              <w:t>应用层级二层 、背板带宽16Gbps 、包转发率12Mpps 、端口8个、传输速率：10M/100M/1000Mbps。</w:t>
            </w:r>
          </w:p>
        </w:tc>
        <w:tc>
          <w:tcPr>
            <w:tcW w:w="436" w:type="dxa"/>
            <w:vAlign w:val="center"/>
          </w:tcPr>
          <w:p>
            <w:pPr>
              <w:jc w:val="center"/>
              <w:rPr>
                <w:rFonts w:ascii="宋体" w:hAnsi="宋体" w:cs="宋体"/>
                <w:sz w:val="20"/>
                <w:szCs w:val="20"/>
              </w:rPr>
            </w:pPr>
            <w:r>
              <w:rPr>
                <w:rFonts w:hint="eastAsia" w:ascii="宋体" w:hAnsi="宋体" w:cs="宋体"/>
                <w:sz w:val="20"/>
                <w:szCs w:val="20"/>
              </w:rPr>
              <w:t>台</w:t>
            </w:r>
          </w:p>
        </w:tc>
        <w:tc>
          <w:tcPr>
            <w:tcW w:w="436" w:type="dxa"/>
            <w:vAlign w:val="center"/>
          </w:tcPr>
          <w:p>
            <w:pPr>
              <w:jc w:val="center"/>
              <w:rPr>
                <w:rFonts w:ascii="宋体" w:hAnsi="宋体" w:cs="宋体"/>
                <w:sz w:val="20"/>
                <w:szCs w:val="20"/>
              </w:rPr>
            </w:pPr>
            <w:r>
              <w:rPr>
                <w:rFonts w:hint="eastAsia" w:ascii="宋体" w:hAnsi="宋体" w:cs="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436" w:type="dxa"/>
            <w:vAlign w:val="center"/>
          </w:tcPr>
          <w:p>
            <w:pPr>
              <w:jc w:val="center"/>
              <w:rPr>
                <w:rFonts w:ascii="宋体" w:hAnsi="宋体" w:cs="宋体"/>
                <w:sz w:val="20"/>
                <w:szCs w:val="20"/>
              </w:rPr>
            </w:pPr>
            <w:r>
              <w:rPr>
                <w:rFonts w:hint="eastAsia" w:ascii="宋体" w:hAnsi="宋体" w:cs="宋体"/>
                <w:sz w:val="20"/>
                <w:szCs w:val="20"/>
              </w:rPr>
              <w:t>9</w:t>
            </w:r>
          </w:p>
        </w:tc>
        <w:tc>
          <w:tcPr>
            <w:tcW w:w="2146" w:type="dxa"/>
            <w:vAlign w:val="center"/>
          </w:tcPr>
          <w:p>
            <w:pPr>
              <w:jc w:val="center"/>
              <w:rPr>
                <w:rFonts w:ascii="宋体" w:hAnsi="宋体" w:cs="宋体"/>
                <w:sz w:val="20"/>
                <w:szCs w:val="20"/>
              </w:rPr>
            </w:pPr>
            <w:r>
              <w:rPr>
                <w:rFonts w:hint="eastAsia" w:ascii="宋体" w:hAnsi="宋体" w:cs="宋体"/>
                <w:sz w:val="20"/>
                <w:szCs w:val="20"/>
              </w:rPr>
              <w:t>手写白板</w:t>
            </w:r>
          </w:p>
        </w:tc>
        <w:tc>
          <w:tcPr>
            <w:tcW w:w="5266" w:type="dxa"/>
            <w:vAlign w:val="center"/>
          </w:tcPr>
          <w:p>
            <w:pPr>
              <w:rPr>
                <w:rFonts w:ascii="宋体" w:hAnsi="宋体" w:cs="宋体"/>
                <w:sz w:val="20"/>
                <w:szCs w:val="20"/>
              </w:rPr>
            </w:pPr>
            <w:r>
              <w:rPr>
                <w:rFonts w:hint="eastAsia" w:ascii="宋体" w:hAnsi="宋体" w:cs="宋体"/>
                <w:sz w:val="20"/>
                <w:szCs w:val="20"/>
              </w:rPr>
              <w:t>1M*2M，窄边，可擦洗。</w:t>
            </w:r>
          </w:p>
        </w:tc>
        <w:tc>
          <w:tcPr>
            <w:tcW w:w="436" w:type="dxa"/>
            <w:vAlign w:val="center"/>
          </w:tcPr>
          <w:p>
            <w:pPr>
              <w:jc w:val="center"/>
              <w:rPr>
                <w:rFonts w:ascii="宋体" w:hAnsi="宋体" w:cs="宋体"/>
                <w:sz w:val="20"/>
                <w:szCs w:val="20"/>
              </w:rPr>
            </w:pPr>
            <w:r>
              <w:rPr>
                <w:rFonts w:hint="eastAsia" w:ascii="宋体" w:hAnsi="宋体" w:cs="宋体"/>
                <w:sz w:val="20"/>
                <w:szCs w:val="20"/>
              </w:rPr>
              <w:t>块</w:t>
            </w:r>
          </w:p>
        </w:tc>
        <w:tc>
          <w:tcPr>
            <w:tcW w:w="436" w:type="dxa"/>
            <w:vAlign w:val="center"/>
          </w:tcPr>
          <w:p>
            <w:pPr>
              <w:jc w:val="center"/>
              <w:rPr>
                <w:rFonts w:ascii="宋体" w:hAnsi="宋体" w:cs="宋体"/>
                <w:sz w:val="20"/>
                <w:szCs w:val="20"/>
              </w:rPr>
            </w:pPr>
            <w:r>
              <w:rPr>
                <w:rFonts w:hint="eastAsia" w:ascii="宋体" w:hAnsi="宋体" w:cs="宋体"/>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436" w:type="dxa"/>
            <w:vAlign w:val="center"/>
          </w:tcPr>
          <w:p>
            <w:pPr>
              <w:jc w:val="center"/>
              <w:rPr>
                <w:rFonts w:ascii="宋体" w:hAnsi="宋体" w:cs="宋体"/>
                <w:sz w:val="20"/>
                <w:szCs w:val="20"/>
              </w:rPr>
            </w:pPr>
            <w:r>
              <w:rPr>
                <w:rFonts w:hint="eastAsia" w:ascii="宋体" w:hAnsi="宋体" w:cs="宋体"/>
                <w:sz w:val="20"/>
                <w:szCs w:val="20"/>
              </w:rPr>
              <w:t>10</w:t>
            </w:r>
          </w:p>
        </w:tc>
        <w:tc>
          <w:tcPr>
            <w:tcW w:w="2146" w:type="dxa"/>
            <w:vAlign w:val="center"/>
          </w:tcPr>
          <w:p>
            <w:pPr>
              <w:jc w:val="center"/>
              <w:rPr>
                <w:rFonts w:ascii="宋体" w:hAnsi="宋体" w:cs="宋体"/>
                <w:sz w:val="20"/>
                <w:szCs w:val="20"/>
              </w:rPr>
            </w:pPr>
            <w:r>
              <w:rPr>
                <w:rFonts w:hint="eastAsia" w:ascii="宋体" w:hAnsi="宋体" w:cs="宋体"/>
                <w:sz w:val="20"/>
                <w:szCs w:val="20"/>
              </w:rPr>
              <w:t>管线及辅材</w:t>
            </w:r>
          </w:p>
        </w:tc>
        <w:tc>
          <w:tcPr>
            <w:tcW w:w="5266" w:type="dxa"/>
            <w:vAlign w:val="center"/>
          </w:tcPr>
          <w:p>
            <w:pPr>
              <w:rPr>
                <w:rFonts w:ascii="宋体" w:hAnsi="宋体" w:cs="宋体"/>
                <w:sz w:val="20"/>
                <w:szCs w:val="20"/>
              </w:rPr>
            </w:pPr>
            <w:r>
              <w:rPr>
                <w:rFonts w:hint="eastAsia" w:ascii="宋体" w:hAnsi="宋体" w:cs="宋体"/>
                <w:sz w:val="20"/>
                <w:szCs w:val="20"/>
              </w:rPr>
              <w:t>按教室现场实际进行敷设，充分考虑录播系统、音视频系统、控制系统等相关线缆及配件。</w:t>
            </w:r>
          </w:p>
        </w:tc>
        <w:tc>
          <w:tcPr>
            <w:tcW w:w="436" w:type="dxa"/>
            <w:vAlign w:val="center"/>
          </w:tcPr>
          <w:p>
            <w:pPr>
              <w:jc w:val="center"/>
              <w:rPr>
                <w:rFonts w:ascii="宋体" w:hAnsi="宋体" w:cs="宋体"/>
                <w:sz w:val="20"/>
                <w:szCs w:val="20"/>
              </w:rPr>
            </w:pPr>
            <w:r>
              <w:rPr>
                <w:rFonts w:hint="eastAsia" w:ascii="宋体" w:hAnsi="宋体" w:cs="宋体"/>
                <w:sz w:val="20"/>
                <w:szCs w:val="20"/>
              </w:rPr>
              <w:t>批</w:t>
            </w:r>
          </w:p>
        </w:tc>
        <w:tc>
          <w:tcPr>
            <w:tcW w:w="436" w:type="dxa"/>
            <w:vAlign w:val="center"/>
          </w:tcPr>
          <w:p>
            <w:pPr>
              <w:jc w:val="center"/>
              <w:rPr>
                <w:rFonts w:ascii="宋体" w:hAnsi="宋体" w:cs="宋体"/>
                <w:sz w:val="20"/>
                <w:szCs w:val="20"/>
              </w:rPr>
            </w:pPr>
            <w:r>
              <w:rPr>
                <w:rFonts w:hint="eastAsia" w:ascii="宋体" w:hAnsi="宋体" w:cs="宋体"/>
                <w:sz w:val="20"/>
                <w:szCs w:val="20"/>
              </w:rPr>
              <w:t>4</w:t>
            </w:r>
          </w:p>
        </w:tc>
      </w:tr>
    </w:tbl>
    <w:p>
      <w:pPr>
        <w:spacing w:beforeLines="50" w:afterLines="50" w:line="360" w:lineRule="auto"/>
        <w:rPr>
          <w:b/>
          <w:sz w:val="24"/>
        </w:rPr>
      </w:pPr>
    </w:p>
    <w:p>
      <w:pPr>
        <w:numPr>
          <w:ilvl w:val="0"/>
          <w:numId w:val="4"/>
        </w:num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服务要求</w:t>
      </w:r>
    </w:p>
    <w:p>
      <w:pPr>
        <w:spacing w:beforeLines="50" w:afterLines="50" w:line="360" w:lineRule="auto"/>
        <w:ind w:firstLine="560" w:firstLineChars="20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1、关于集成：</w:t>
      </w:r>
    </w:p>
    <w:p>
      <w:pPr>
        <w:spacing w:beforeLines="50" w:afterLines="50" w:line="360" w:lineRule="auto"/>
        <w:ind w:left="360" w:firstLine="280" w:firstLineChars="10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 xml:space="preserve">系统集成必须符合国标规范，施工前现场详细勘测记录拍照；管道线缆埋设/穿设；线缆/线路/链路测试；设备架设线路接头的标识需要打印；系统总联调记录、运行记录、培训记录、移交记录。 </w:t>
      </w:r>
    </w:p>
    <w:p>
      <w:pPr>
        <w:spacing w:afterLines="30" w:line="440" w:lineRule="exact"/>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2、质保期：叁年（以上设备以触摸互动终端为核心设备，请投标方提供针对核心设备出具的原厂质保函）保修期内，卖方负责免费对其提供的设备、软件进行现场维修，如有部件损坏，必须更换为全新部件，不收取额外费用。质保期内必要的易损件更换不收取任何费用。在保修期内，出现质量问题时或故障时，响应时间为2小时，遇到紧急突发事件远程无法解决，工程师在4小时内到达现场并排除故障。派有经验、有资格的人员及时对货物及全系统进行调试，并对买方相关人员进行产品仪器基本操作培训，以及针对用户使用方案的专业培</w:t>
      </w:r>
      <w:r>
        <w:rPr>
          <w:rFonts w:hint="eastAsia" w:asciiTheme="minorEastAsia" w:hAnsiTheme="minorEastAsia" w:eastAsiaTheme="minorEastAsia" w:cstheme="minorEastAsia"/>
          <w:color w:val="FF0000"/>
          <w:kern w:val="2"/>
          <w:sz w:val="28"/>
          <w:szCs w:val="28"/>
        </w:rPr>
        <w:t>训并提供具体的培训方案</w:t>
      </w:r>
      <w:r>
        <w:rPr>
          <w:rFonts w:hint="eastAsia" w:asciiTheme="minorEastAsia" w:hAnsiTheme="minorEastAsia" w:eastAsiaTheme="minorEastAsia" w:cstheme="minorEastAsia"/>
          <w:kern w:val="2"/>
          <w:sz w:val="28"/>
          <w:szCs w:val="28"/>
        </w:rPr>
        <w:t>。质保期满后负责上门维修，设备故障报修后24小时内响应，质保期满后继续提供维修服务，</w:t>
      </w:r>
      <w:r>
        <w:rPr>
          <w:rFonts w:hint="eastAsia" w:asciiTheme="minorEastAsia" w:hAnsiTheme="minorEastAsia" w:eastAsiaTheme="minorEastAsia" w:cstheme="minorEastAsia"/>
          <w:color w:val="FF0000"/>
          <w:kern w:val="2"/>
          <w:sz w:val="28"/>
          <w:szCs w:val="28"/>
        </w:rPr>
        <w:t>按照当时市场价的50%收取维修费用。</w:t>
      </w:r>
    </w:p>
    <w:p>
      <w:pPr>
        <w:spacing w:line="360" w:lineRule="auto"/>
        <w:ind w:firstLine="562" w:firstLineChars="200"/>
        <w:rPr>
          <w:rFonts w:asciiTheme="minorEastAsia" w:hAnsiTheme="minorEastAsia" w:eastAsiaTheme="minorEastAsia"/>
          <w:b/>
          <w:bCs/>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
          <w:bCs/>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6" w:name="_Toc401414769"/>
      <w:r>
        <w:rPr>
          <w:rFonts w:hint="eastAsia" w:ascii="宋体" w:hAnsi="宋体" w:eastAsia="宋体" w:cs="宋体"/>
          <w:szCs w:val="21"/>
        </w:rPr>
        <w:t>货到正常运行后以15天为验收期限，中标价小于等于20万元的设备，验收期满或验收合格后付全款；中标价大于20万元的设备，验收期满或验收合格后支付到合同金额的90%，余10%尾款于正常使用一年后无息支付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bookmarkStart w:id="167" w:name="_Toc523931348"/>
    </w:p>
    <w:p>
      <w:pPr>
        <w:adjustRightInd/>
        <w:snapToGrid/>
        <w:spacing w:after="0"/>
      </w:pPr>
      <w:r>
        <w:br w:type="page"/>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7"/>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30"/>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9"/>
        <w:tblpPr w:leftFromText="180" w:rightFromText="180" w:vertAnchor="text" w:horzAnchor="margin" w:tblpY="89"/>
        <w:tblOverlap w:val="never"/>
        <w:tblW w:w="90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809"/>
        <w:gridCol w:w="7031"/>
        <w:gridCol w:w="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8" w:hRule="atLeast"/>
          <w:tblHeader/>
        </w:trPr>
        <w:tc>
          <w:tcPr>
            <w:tcW w:w="5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Calibri" w:cs="宋体"/>
                <w:bCs/>
                <w:color w:val="000000"/>
              </w:rPr>
            </w:pPr>
            <w:r>
              <w:rPr>
                <w:rFonts w:hint="eastAsia" w:ascii="宋体" w:hAnsi="宋体" w:cs="宋体"/>
                <w:bCs/>
                <w:color w:val="000000"/>
              </w:rPr>
              <w:t>序号</w:t>
            </w:r>
          </w:p>
        </w:tc>
        <w:tc>
          <w:tcPr>
            <w:tcW w:w="8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Calibri" w:cs="宋体"/>
                <w:bCs/>
                <w:color w:val="000000"/>
              </w:rPr>
            </w:pPr>
            <w:r>
              <w:rPr>
                <w:rFonts w:hint="eastAsia" w:ascii="宋体" w:hAnsi="宋体" w:cs="宋体"/>
                <w:bCs/>
                <w:color w:val="000000"/>
              </w:rPr>
              <w:t>评分因素</w:t>
            </w:r>
          </w:p>
        </w:tc>
        <w:tc>
          <w:tcPr>
            <w:tcW w:w="7031" w:type="dxa"/>
            <w:tcBorders>
              <w:top w:val="single" w:color="auto" w:sz="4" w:space="0"/>
              <w:left w:val="single" w:color="auto" w:sz="4" w:space="0"/>
              <w:bottom w:val="single" w:color="auto" w:sz="4" w:space="0"/>
              <w:right w:val="single" w:color="auto" w:sz="4" w:space="0"/>
            </w:tcBorders>
            <w:vAlign w:val="center"/>
          </w:tcPr>
          <w:p>
            <w:pPr>
              <w:ind w:firstLine="24" w:firstLineChars="11"/>
              <w:jc w:val="center"/>
              <w:rPr>
                <w:rFonts w:ascii="宋体" w:hAnsi="Calibri" w:cs="宋体"/>
                <w:bCs/>
                <w:color w:val="000000"/>
              </w:rPr>
            </w:pPr>
            <w:r>
              <w:rPr>
                <w:rFonts w:hint="eastAsia" w:ascii="宋体" w:hAnsi="宋体" w:cs="宋体"/>
                <w:bCs/>
                <w:color w:val="000000"/>
              </w:rPr>
              <w:t>评审标准</w:t>
            </w:r>
          </w:p>
        </w:tc>
        <w:tc>
          <w:tcPr>
            <w:tcW w:w="5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Calibri" w:cs="宋体"/>
                <w:bCs/>
                <w:color w:val="000000"/>
              </w:rPr>
            </w:pPr>
            <w:r>
              <w:rPr>
                <w:rFonts w:hint="eastAsia" w:ascii="宋体" w:hAnsi="宋体" w:cs="宋体"/>
                <w:bCs/>
                <w:color w:val="000000"/>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3" w:hRule="atLeast"/>
        </w:trPr>
        <w:tc>
          <w:tcPr>
            <w:tcW w:w="5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Calibri" w:cs="宋体"/>
                <w:bCs/>
                <w:color w:val="000000"/>
              </w:rPr>
            </w:pPr>
            <w:r>
              <w:rPr>
                <w:rFonts w:ascii="宋体" w:hAnsi="宋体" w:cs="宋体"/>
                <w:bCs/>
                <w:color w:val="000000"/>
              </w:rPr>
              <w:t>1</w:t>
            </w:r>
          </w:p>
        </w:tc>
        <w:tc>
          <w:tcPr>
            <w:tcW w:w="8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Calibri" w:cs="宋体"/>
                <w:bCs/>
                <w:color w:val="000000"/>
              </w:rPr>
            </w:pPr>
            <w:r>
              <w:rPr>
                <w:rFonts w:hint="eastAsia" w:ascii="宋体" w:hAnsi="宋体" w:cs="宋体"/>
                <w:bCs/>
                <w:color w:val="000000"/>
              </w:rPr>
              <w:t>价格</w:t>
            </w:r>
          </w:p>
        </w:tc>
        <w:tc>
          <w:tcPr>
            <w:tcW w:w="7031" w:type="dxa"/>
            <w:tcBorders>
              <w:top w:val="single" w:color="auto" w:sz="4" w:space="0"/>
              <w:left w:val="single" w:color="auto" w:sz="4" w:space="0"/>
              <w:bottom w:val="single" w:color="auto" w:sz="4" w:space="0"/>
              <w:right w:val="single" w:color="auto" w:sz="4" w:space="0"/>
            </w:tcBorders>
            <w:vAlign w:val="center"/>
          </w:tcPr>
          <w:p>
            <w:pPr>
              <w:rPr>
                <w:rFonts w:ascii="宋体" w:hAnsi="Calibri" w:cs="Arial"/>
                <w:bCs/>
                <w:color w:val="000000"/>
              </w:rPr>
            </w:pPr>
            <w:r>
              <w:rPr>
                <w:rFonts w:hint="eastAsia" w:ascii="宋体" w:hAnsi="宋体" w:cs="Arial"/>
                <w:bCs/>
                <w:color w:val="000000"/>
              </w:rPr>
              <w:t>即满足招标文件要求且投标价格最低的投标报价为评标基准价，其价格分为满分。其他投标人的价格分统一按照下列公式计算</w:t>
            </w:r>
            <w:r>
              <w:rPr>
                <w:rFonts w:ascii="宋体" w:hAnsi="宋体" w:cs="Arial"/>
                <w:bCs/>
                <w:color w:val="000000"/>
              </w:rPr>
              <w:t>:</w:t>
            </w:r>
            <w:r>
              <w:rPr>
                <w:rFonts w:hint="eastAsia" w:ascii="宋体" w:hAnsi="宋体" w:cs="Arial"/>
                <w:bCs/>
                <w:color w:val="000000"/>
              </w:rPr>
              <w:t>投标报价得分</w:t>
            </w:r>
            <w:r>
              <w:rPr>
                <w:rFonts w:ascii="宋体" w:hAnsi="宋体" w:cs="Arial"/>
                <w:bCs/>
                <w:color w:val="000000"/>
              </w:rPr>
              <w:t>=(</w:t>
            </w:r>
            <w:r>
              <w:rPr>
                <w:rFonts w:hint="eastAsia" w:ascii="宋体" w:hAnsi="宋体" w:cs="Arial"/>
                <w:bCs/>
                <w:color w:val="000000"/>
              </w:rPr>
              <w:t>评标基准价</w:t>
            </w:r>
            <w:r>
              <w:rPr>
                <w:rFonts w:ascii="宋体" w:hAnsi="宋体" w:cs="Arial"/>
                <w:bCs/>
                <w:color w:val="000000"/>
              </w:rPr>
              <w:t>/</w:t>
            </w:r>
            <w:r>
              <w:rPr>
                <w:rFonts w:hint="eastAsia" w:ascii="宋体" w:hAnsi="宋体" w:cs="Arial"/>
                <w:bCs/>
                <w:color w:val="000000"/>
              </w:rPr>
              <w:t>投标报价</w:t>
            </w:r>
            <w:r>
              <w:rPr>
                <w:rFonts w:ascii="宋体" w:hAnsi="宋体" w:cs="Arial"/>
                <w:bCs/>
                <w:color w:val="000000"/>
              </w:rPr>
              <w:t>)</w:t>
            </w:r>
            <w:r>
              <w:rPr>
                <w:rFonts w:hint="eastAsia" w:ascii="宋体" w:hAnsi="宋体" w:cs="Arial"/>
                <w:bCs/>
                <w:color w:val="000000"/>
              </w:rPr>
              <w:t>×30</w:t>
            </w:r>
            <w:r>
              <w:rPr>
                <w:rFonts w:hint="eastAsia" w:ascii="宋体" w:hAnsi="宋体"/>
                <w:bCs/>
                <w:color w:val="000000"/>
              </w:rPr>
              <w:t>（小数点保留两位）。</w:t>
            </w:r>
          </w:p>
        </w:tc>
        <w:tc>
          <w:tcPr>
            <w:tcW w:w="5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Calibri" w:cs="宋体"/>
                <w:bCs/>
                <w:color w:val="000000"/>
              </w:rPr>
            </w:pPr>
            <w:r>
              <w:rPr>
                <w:rFonts w:hint="eastAsia" w:ascii="宋体" w:hAnsi="宋体"/>
                <w:bCs/>
                <w:color w:val="00000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4" w:hRule="atLeast"/>
        </w:trPr>
        <w:tc>
          <w:tcPr>
            <w:tcW w:w="575" w:type="dxa"/>
            <w:vMerge w:val="restart"/>
            <w:tcBorders>
              <w:top w:val="single" w:color="auto" w:sz="4" w:space="0"/>
              <w:left w:val="single" w:color="auto" w:sz="4" w:space="0"/>
              <w:right w:val="single" w:color="auto" w:sz="4" w:space="0"/>
            </w:tcBorders>
            <w:vAlign w:val="center"/>
          </w:tcPr>
          <w:p>
            <w:pPr>
              <w:jc w:val="center"/>
              <w:rPr>
                <w:rFonts w:ascii="宋体" w:hAnsi="Calibri" w:cs="宋体"/>
                <w:bCs/>
                <w:color w:val="000000"/>
              </w:rPr>
            </w:pPr>
            <w:r>
              <w:rPr>
                <w:rFonts w:ascii="宋体" w:hAnsi="宋体" w:cs="宋体"/>
                <w:bCs/>
                <w:color w:val="000000"/>
              </w:rPr>
              <w:t>2</w:t>
            </w:r>
          </w:p>
        </w:tc>
        <w:tc>
          <w:tcPr>
            <w:tcW w:w="809" w:type="dxa"/>
            <w:vMerge w:val="restart"/>
            <w:tcBorders>
              <w:top w:val="single" w:color="auto" w:sz="4" w:space="0"/>
              <w:left w:val="single" w:color="auto" w:sz="4" w:space="0"/>
              <w:right w:val="single" w:color="auto" w:sz="4" w:space="0"/>
            </w:tcBorders>
            <w:vAlign w:val="center"/>
          </w:tcPr>
          <w:p>
            <w:pPr>
              <w:jc w:val="center"/>
              <w:rPr>
                <w:rFonts w:ascii="宋体" w:hAnsi="Calibri" w:cs="宋体"/>
                <w:bCs/>
                <w:color w:val="000000"/>
              </w:rPr>
            </w:pPr>
            <w:r>
              <w:rPr>
                <w:rFonts w:hint="eastAsia" w:ascii="宋体" w:hAnsi="宋体" w:cs="宋体"/>
                <w:bCs/>
                <w:color w:val="000000"/>
              </w:rPr>
              <w:t>技术</w:t>
            </w:r>
          </w:p>
          <w:p>
            <w:pPr>
              <w:jc w:val="center"/>
              <w:rPr>
                <w:rFonts w:ascii="宋体" w:hAnsi="Calibri" w:cs="宋体"/>
                <w:bCs/>
                <w:color w:val="000000"/>
              </w:rPr>
            </w:pPr>
            <w:r>
              <w:rPr>
                <w:rFonts w:hint="eastAsia" w:ascii="宋体" w:hAnsi="宋体" w:cs="宋体"/>
                <w:bCs/>
                <w:color w:val="000000"/>
              </w:rPr>
              <w:t>指标</w:t>
            </w:r>
          </w:p>
        </w:tc>
        <w:tc>
          <w:tcPr>
            <w:tcW w:w="703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lang w:val="zh-CN"/>
              </w:rPr>
            </w:pPr>
            <w:r>
              <w:rPr>
                <w:rFonts w:hint="eastAsia" w:ascii="宋体" w:hAnsi="宋体" w:cs="Arial"/>
                <w:bCs/>
                <w:color w:val="000000"/>
              </w:rPr>
              <w:t>设备技术指标及参数全部满足招标文件要求的得32分。</w:t>
            </w:r>
          </w:p>
          <w:p>
            <w:pPr>
              <w:rPr>
                <w:rFonts w:ascii="宋体" w:hAnsi="宋体" w:cs="宋体"/>
                <w:bCs/>
                <w:color w:val="000000"/>
              </w:rPr>
            </w:pPr>
            <w:r>
              <w:rPr>
                <w:rFonts w:hint="eastAsia" w:ascii="宋体" w:hAnsi="宋体" w:cs="宋体"/>
                <w:bCs/>
                <w:color w:val="000000"/>
                <w:lang w:val="zh-CN"/>
              </w:rPr>
              <w:t>带</w:t>
            </w:r>
            <w:r>
              <w:rPr>
                <w:rFonts w:hint="eastAsia"/>
              </w:rPr>
              <w:t>▲</w:t>
            </w:r>
            <w:r>
              <w:rPr>
                <w:rFonts w:hint="eastAsia" w:ascii="宋体" w:hAnsi="宋体" w:cs="宋体"/>
                <w:bCs/>
                <w:color w:val="000000"/>
                <w:lang w:val="zh-CN"/>
              </w:rPr>
              <w:t>项是核心的技术要求，有负偏离的部分，每一项扣</w:t>
            </w:r>
            <w:r>
              <w:rPr>
                <w:rFonts w:hint="eastAsia" w:ascii="宋体" w:hAnsi="宋体" w:cs="宋体"/>
                <w:bCs/>
                <w:color w:val="000000"/>
              </w:rPr>
              <w:t>4</w:t>
            </w:r>
            <w:r>
              <w:rPr>
                <w:rFonts w:hint="eastAsia" w:ascii="宋体" w:hAnsi="宋体" w:cs="宋体"/>
                <w:bCs/>
                <w:color w:val="000000"/>
                <w:lang w:val="zh-CN"/>
              </w:rPr>
              <w:t>分，扣完为止</w:t>
            </w:r>
            <w:r>
              <w:rPr>
                <w:rFonts w:hint="eastAsia" w:ascii="宋体" w:hAnsi="宋体" w:cs="宋体"/>
                <w:bCs/>
                <w:color w:val="000000"/>
              </w:rPr>
              <w:t>；</w:t>
            </w:r>
          </w:p>
          <w:p>
            <w:pPr>
              <w:rPr>
                <w:rFonts w:ascii="宋体" w:hAnsi="Calibri" w:cs="宋体"/>
                <w:bCs/>
                <w:color w:val="000000"/>
              </w:rPr>
            </w:pPr>
            <w:r>
              <w:rPr>
                <w:rFonts w:hint="eastAsia" w:ascii="宋体" w:hAnsi="宋体" w:cs="宋体"/>
                <w:bCs/>
                <w:color w:val="000000"/>
              </w:rPr>
              <w:t>不带</w:t>
            </w:r>
            <w:r>
              <w:rPr>
                <w:rFonts w:hint="eastAsia"/>
              </w:rPr>
              <w:t>▲</w:t>
            </w:r>
            <w:r>
              <w:rPr>
                <w:rFonts w:hint="eastAsia" w:ascii="宋体" w:hAnsi="宋体" w:cs="宋体"/>
                <w:bCs/>
                <w:color w:val="000000"/>
              </w:rPr>
              <w:t>项</w:t>
            </w:r>
            <w:r>
              <w:rPr>
                <w:rFonts w:hint="eastAsia" w:ascii="宋体" w:hAnsi="宋体" w:cs="宋体"/>
                <w:bCs/>
                <w:color w:val="000000"/>
                <w:lang w:val="zh-CN"/>
              </w:rPr>
              <w:t>有负偏离的部分，每一项扣</w:t>
            </w:r>
            <w:r>
              <w:rPr>
                <w:rFonts w:hint="eastAsia" w:ascii="宋体" w:hAnsi="宋体" w:cs="宋体"/>
                <w:bCs/>
                <w:color w:val="000000"/>
              </w:rPr>
              <w:t>2</w:t>
            </w:r>
            <w:r>
              <w:rPr>
                <w:rFonts w:hint="eastAsia" w:ascii="宋体" w:hAnsi="宋体" w:cs="宋体"/>
                <w:bCs/>
                <w:color w:val="000000"/>
                <w:lang w:val="zh-CN"/>
              </w:rPr>
              <w:t>分，扣完为止。</w:t>
            </w:r>
          </w:p>
        </w:tc>
        <w:tc>
          <w:tcPr>
            <w:tcW w:w="5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Calibri" w:cs="宋体"/>
                <w:bCs/>
                <w:color w:val="000000"/>
              </w:rPr>
            </w:pPr>
            <w:r>
              <w:rPr>
                <w:rFonts w:hint="eastAsia" w:ascii="宋体" w:hAnsi="宋体" w:cs="宋体"/>
                <w:bCs/>
                <w:color w:val="000000"/>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2" w:hRule="atLeast"/>
        </w:trPr>
        <w:tc>
          <w:tcPr>
            <w:tcW w:w="575" w:type="dxa"/>
            <w:vMerge w:val="continue"/>
            <w:tcBorders>
              <w:left w:val="single" w:color="auto" w:sz="4" w:space="0"/>
              <w:bottom w:val="single" w:color="auto" w:sz="4" w:space="0"/>
              <w:right w:val="single" w:color="auto" w:sz="4" w:space="0"/>
            </w:tcBorders>
            <w:vAlign w:val="center"/>
          </w:tcPr>
          <w:p>
            <w:pPr>
              <w:jc w:val="center"/>
              <w:rPr>
                <w:rFonts w:ascii="宋体" w:hAnsi="宋体" w:cs="宋体"/>
                <w:bCs/>
                <w:color w:val="000000"/>
              </w:rPr>
            </w:pPr>
          </w:p>
        </w:tc>
        <w:tc>
          <w:tcPr>
            <w:tcW w:w="809" w:type="dxa"/>
            <w:vMerge w:val="continue"/>
            <w:tcBorders>
              <w:left w:val="single" w:color="auto" w:sz="4" w:space="0"/>
              <w:bottom w:val="single" w:color="auto" w:sz="4" w:space="0"/>
              <w:right w:val="single" w:color="auto" w:sz="4" w:space="0"/>
            </w:tcBorders>
            <w:vAlign w:val="center"/>
          </w:tcPr>
          <w:p>
            <w:pPr>
              <w:jc w:val="center"/>
              <w:rPr>
                <w:rFonts w:ascii="宋体" w:hAnsi="宋体" w:cs="宋体"/>
                <w:bCs/>
                <w:color w:val="000000"/>
              </w:rPr>
            </w:pPr>
          </w:p>
        </w:tc>
        <w:tc>
          <w:tcPr>
            <w:tcW w:w="703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rPr>
            </w:pPr>
            <w:r>
              <w:rPr>
                <w:rFonts w:hint="eastAsia" w:ascii="宋体" w:hAnsi="宋体" w:cs="Arial"/>
                <w:bCs/>
                <w:color w:val="000000"/>
              </w:rPr>
              <w:t>投标人根据招标文件及本项目特点，至少需要提供本教学系统的空间效果图、设备布局图、系统拓扑图、项目实施等方案。根据规范性、完整性、准确性、系统结构合理性等评分，优得10-12分，良得7-9分，一般得1-6分，未提供的不得分。（12分）</w:t>
            </w:r>
          </w:p>
        </w:tc>
        <w:tc>
          <w:tcPr>
            <w:tcW w:w="5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rPr>
            </w:pPr>
            <w:r>
              <w:rPr>
                <w:rFonts w:hint="eastAsia" w:ascii="宋体" w:hAnsi="宋体" w:cs="宋体"/>
                <w:bCs/>
                <w:color w:val="00000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trPr>
        <w:tc>
          <w:tcPr>
            <w:tcW w:w="575" w:type="dxa"/>
            <w:vMerge w:val="restart"/>
            <w:tcBorders>
              <w:top w:val="single" w:color="auto" w:sz="4" w:space="0"/>
              <w:left w:val="single" w:color="auto" w:sz="4" w:space="0"/>
              <w:right w:val="single" w:color="auto" w:sz="4" w:space="0"/>
            </w:tcBorders>
            <w:vAlign w:val="center"/>
          </w:tcPr>
          <w:p>
            <w:pPr>
              <w:jc w:val="center"/>
              <w:rPr>
                <w:rFonts w:ascii="宋体" w:hAnsi="宋体" w:cs="宋体"/>
                <w:bCs/>
                <w:color w:val="000000"/>
              </w:rPr>
            </w:pPr>
            <w:r>
              <w:rPr>
                <w:rFonts w:hint="eastAsia" w:ascii="宋体" w:hAnsi="宋体" w:cs="宋体"/>
                <w:bCs/>
                <w:color w:val="000000"/>
              </w:rPr>
              <w:t>3</w:t>
            </w:r>
          </w:p>
        </w:tc>
        <w:tc>
          <w:tcPr>
            <w:tcW w:w="809" w:type="dxa"/>
            <w:vMerge w:val="restart"/>
            <w:tcBorders>
              <w:top w:val="single" w:color="auto" w:sz="4" w:space="0"/>
              <w:left w:val="single" w:color="auto" w:sz="4" w:space="0"/>
              <w:right w:val="single" w:color="auto" w:sz="4" w:space="0"/>
            </w:tcBorders>
            <w:vAlign w:val="center"/>
          </w:tcPr>
          <w:p>
            <w:pPr>
              <w:jc w:val="center"/>
              <w:rPr>
                <w:rFonts w:ascii="宋体" w:hAnsi="宋体" w:cs="宋体"/>
                <w:bCs/>
                <w:color w:val="000000"/>
              </w:rPr>
            </w:pPr>
            <w:r>
              <w:rPr>
                <w:rFonts w:hint="eastAsia" w:ascii="宋体" w:hAnsi="宋体" w:cs="宋体"/>
                <w:bCs/>
                <w:color w:val="000000"/>
              </w:rPr>
              <w:t>产品与服务</w:t>
            </w:r>
          </w:p>
        </w:tc>
        <w:tc>
          <w:tcPr>
            <w:tcW w:w="703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rPr>
            </w:pPr>
            <w:r>
              <w:rPr>
                <w:rFonts w:hint="eastAsia" w:ascii="宋体" w:hAnsi="宋体" w:cs="宋体"/>
                <w:bCs/>
                <w:color w:val="000000"/>
              </w:rPr>
              <w:t>多媒体智能教学终端系统具有 “集成数字广播和中控系统”实用性专利证书的得1分。（以上复印件</w:t>
            </w:r>
            <w:r>
              <w:rPr>
                <w:rFonts w:ascii="宋体" w:hAnsi="宋体" w:cs="宋体"/>
                <w:bCs/>
                <w:color w:val="000000"/>
              </w:rPr>
              <w:t>需加</w:t>
            </w:r>
            <w:r>
              <w:rPr>
                <w:rFonts w:hint="eastAsia" w:ascii="宋体" w:hAnsi="宋体" w:cs="宋体"/>
                <w:bCs/>
                <w:color w:val="000000"/>
              </w:rPr>
              <w:t>盖公</w:t>
            </w:r>
            <w:r>
              <w:rPr>
                <w:rFonts w:ascii="宋体" w:hAnsi="宋体" w:cs="宋体"/>
                <w:bCs/>
                <w:color w:val="000000"/>
              </w:rPr>
              <w:t>章</w:t>
            </w:r>
            <w:r>
              <w:rPr>
                <w:rFonts w:hint="eastAsia" w:ascii="宋体" w:hAnsi="宋体" w:cs="宋体"/>
                <w:bCs/>
                <w:color w:val="000000"/>
              </w:rPr>
              <w:t>，原件带至评审现场备查）</w:t>
            </w:r>
          </w:p>
        </w:tc>
        <w:tc>
          <w:tcPr>
            <w:tcW w:w="5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Calibri" w:cs="宋体"/>
                <w:bCs/>
                <w:color w:val="000000"/>
              </w:rPr>
            </w:pPr>
            <w:r>
              <w:rPr>
                <w:rFonts w:hint="eastAsia" w:ascii="宋体" w:hAnsi="宋体" w:cs="宋体"/>
                <w:bCs/>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trPr>
        <w:tc>
          <w:tcPr>
            <w:tcW w:w="575" w:type="dxa"/>
            <w:vMerge w:val="continue"/>
            <w:tcBorders>
              <w:left w:val="single" w:color="auto" w:sz="4" w:space="0"/>
              <w:right w:val="single" w:color="auto" w:sz="4" w:space="0"/>
            </w:tcBorders>
            <w:vAlign w:val="center"/>
          </w:tcPr>
          <w:p>
            <w:pPr>
              <w:jc w:val="center"/>
              <w:rPr>
                <w:rFonts w:ascii="宋体" w:hAnsi="Calibri" w:cs="宋体"/>
                <w:bCs/>
                <w:color w:val="000000"/>
              </w:rPr>
            </w:pPr>
          </w:p>
        </w:tc>
        <w:tc>
          <w:tcPr>
            <w:tcW w:w="809" w:type="dxa"/>
            <w:vMerge w:val="continue"/>
            <w:tcBorders>
              <w:left w:val="single" w:color="auto" w:sz="4" w:space="0"/>
              <w:right w:val="single" w:color="auto" w:sz="4" w:space="0"/>
            </w:tcBorders>
            <w:vAlign w:val="center"/>
          </w:tcPr>
          <w:p>
            <w:pPr>
              <w:jc w:val="center"/>
              <w:rPr>
                <w:rFonts w:ascii="宋体" w:hAnsi="宋体" w:cs="宋体"/>
                <w:bCs/>
                <w:color w:val="000000"/>
              </w:rPr>
            </w:pPr>
          </w:p>
        </w:tc>
        <w:tc>
          <w:tcPr>
            <w:tcW w:w="703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rPr>
            </w:pPr>
            <w:r>
              <w:rPr>
                <w:rFonts w:hint="eastAsia" w:ascii="宋体" w:hAnsi="宋体" w:cs="宋体"/>
                <w:bCs/>
                <w:color w:val="000000"/>
              </w:rPr>
              <w:t>本地化服务：投标人在项目所在地的服务网点，网点齐全得2分，其他不得分；</w:t>
            </w:r>
          </w:p>
        </w:tc>
        <w:tc>
          <w:tcPr>
            <w:tcW w:w="5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Calibri" w:cs="宋体"/>
                <w:bCs/>
                <w:color w:val="000000"/>
              </w:rPr>
            </w:pPr>
            <w:r>
              <w:rPr>
                <w:rFonts w:hint="eastAsia" w:ascii="宋体" w:hAnsi="Calibri" w:cs="宋体"/>
                <w:bCs/>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trPr>
        <w:tc>
          <w:tcPr>
            <w:tcW w:w="575" w:type="dxa"/>
            <w:vMerge w:val="continue"/>
            <w:tcBorders>
              <w:left w:val="single" w:color="auto" w:sz="4" w:space="0"/>
              <w:right w:val="single" w:color="auto" w:sz="4" w:space="0"/>
            </w:tcBorders>
            <w:vAlign w:val="center"/>
          </w:tcPr>
          <w:p>
            <w:pPr>
              <w:jc w:val="center"/>
              <w:rPr>
                <w:rFonts w:ascii="宋体" w:hAnsi="Calibri" w:cs="宋体"/>
                <w:bCs/>
                <w:color w:val="000000"/>
              </w:rPr>
            </w:pPr>
          </w:p>
        </w:tc>
        <w:tc>
          <w:tcPr>
            <w:tcW w:w="809" w:type="dxa"/>
            <w:vMerge w:val="continue"/>
            <w:tcBorders>
              <w:left w:val="single" w:color="auto" w:sz="4" w:space="0"/>
              <w:right w:val="single" w:color="auto" w:sz="4" w:space="0"/>
            </w:tcBorders>
            <w:vAlign w:val="center"/>
          </w:tcPr>
          <w:p>
            <w:pPr>
              <w:jc w:val="center"/>
              <w:rPr>
                <w:rFonts w:ascii="宋体" w:hAnsi="宋体" w:cs="宋体"/>
                <w:bCs/>
                <w:color w:val="000000"/>
              </w:rPr>
            </w:pPr>
          </w:p>
        </w:tc>
        <w:tc>
          <w:tcPr>
            <w:tcW w:w="703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rPr>
            </w:pPr>
            <w:r>
              <w:rPr>
                <w:rFonts w:hint="eastAsia" w:ascii="宋体" w:hAnsi="宋体" w:cs="宋体"/>
                <w:bCs/>
                <w:color w:val="000000"/>
              </w:rPr>
              <w:t>投标方具有守合同重信用企业证书得1分。（提供复印件并加盖公章，原件带至评审现场备查）</w:t>
            </w:r>
          </w:p>
        </w:tc>
        <w:tc>
          <w:tcPr>
            <w:tcW w:w="5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Calibri" w:cs="宋体"/>
                <w:bCs/>
                <w:color w:val="000000"/>
              </w:rPr>
            </w:pPr>
            <w:r>
              <w:rPr>
                <w:rFonts w:hint="eastAsia" w:ascii="宋体" w:hAnsi="Calibri" w:cs="宋体"/>
                <w:bCs/>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575" w:type="dxa"/>
            <w:vMerge w:val="continue"/>
            <w:tcBorders>
              <w:left w:val="single" w:color="auto" w:sz="4" w:space="0"/>
              <w:right w:val="single" w:color="auto" w:sz="4" w:space="0"/>
            </w:tcBorders>
            <w:vAlign w:val="center"/>
          </w:tcPr>
          <w:p>
            <w:pPr>
              <w:ind w:right="105"/>
              <w:jc w:val="center"/>
              <w:rPr>
                <w:rFonts w:ascii="宋体" w:hAnsi="宋体" w:cs="宋体"/>
                <w:bCs/>
                <w:color w:val="000000"/>
              </w:rPr>
            </w:pPr>
          </w:p>
        </w:tc>
        <w:tc>
          <w:tcPr>
            <w:tcW w:w="809" w:type="dxa"/>
            <w:vMerge w:val="continue"/>
            <w:tcBorders>
              <w:left w:val="single" w:color="auto" w:sz="4" w:space="0"/>
              <w:right w:val="single" w:color="auto" w:sz="4" w:space="0"/>
            </w:tcBorders>
            <w:vAlign w:val="center"/>
          </w:tcPr>
          <w:p>
            <w:pPr>
              <w:jc w:val="center"/>
              <w:rPr>
                <w:rFonts w:ascii="宋体" w:hAnsi="宋体" w:cs="宋体"/>
                <w:bCs/>
                <w:color w:val="000000"/>
              </w:rPr>
            </w:pPr>
          </w:p>
        </w:tc>
        <w:tc>
          <w:tcPr>
            <w:tcW w:w="7031" w:type="dxa"/>
            <w:tcBorders>
              <w:top w:val="single" w:color="auto" w:sz="4" w:space="0"/>
              <w:left w:val="single" w:color="auto" w:sz="4" w:space="0"/>
              <w:right w:val="single" w:color="auto" w:sz="4" w:space="0"/>
            </w:tcBorders>
            <w:vAlign w:val="center"/>
          </w:tcPr>
          <w:p>
            <w:pPr>
              <w:rPr>
                <w:rFonts w:ascii="宋体" w:hAnsi="宋体" w:cs="宋体"/>
                <w:bCs/>
                <w:color w:val="000000"/>
              </w:rPr>
            </w:pPr>
            <w:r>
              <w:rPr>
                <w:rFonts w:hint="eastAsia" w:ascii="宋体" w:hAnsi="宋体" w:cs="宋体"/>
                <w:bCs/>
                <w:color w:val="000000"/>
              </w:rPr>
              <w:t>投标方具有ISO9001、ISO14001、OHSAS18001的认证证书得1分，三证</w:t>
            </w:r>
            <w:r>
              <w:rPr>
                <w:rFonts w:ascii="宋体" w:hAnsi="宋体" w:cs="宋体"/>
                <w:bCs/>
                <w:color w:val="000000"/>
              </w:rPr>
              <w:t>缺一不得分</w:t>
            </w:r>
            <w:r>
              <w:rPr>
                <w:rFonts w:hint="eastAsia" w:ascii="宋体" w:hAnsi="宋体" w:cs="宋体"/>
                <w:bCs/>
                <w:color w:val="000000"/>
              </w:rPr>
              <w:t>。（提供复印件并加盖公章，原件带至评审现场备查）</w:t>
            </w:r>
          </w:p>
        </w:tc>
        <w:tc>
          <w:tcPr>
            <w:tcW w:w="593" w:type="dxa"/>
            <w:tcBorders>
              <w:top w:val="single" w:color="auto" w:sz="4" w:space="0"/>
              <w:left w:val="single" w:color="auto" w:sz="4" w:space="0"/>
              <w:right w:val="single" w:color="auto" w:sz="4" w:space="0"/>
            </w:tcBorders>
            <w:vAlign w:val="center"/>
          </w:tcPr>
          <w:p>
            <w:pPr>
              <w:jc w:val="center"/>
              <w:rPr>
                <w:rFonts w:ascii="宋体" w:hAnsi="宋体" w:cs="宋体"/>
                <w:bCs/>
                <w:color w:val="000000"/>
              </w:rPr>
            </w:pPr>
            <w:r>
              <w:rPr>
                <w:rFonts w:hint="eastAsia" w:ascii="宋体" w:hAnsi="宋体" w:cs="宋体"/>
                <w:bCs/>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 w:hRule="atLeast"/>
        </w:trPr>
        <w:tc>
          <w:tcPr>
            <w:tcW w:w="575" w:type="dxa"/>
            <w:vMerge w:val="continue"/>
            <w:tcBorders>
              <w:left w:val="single" w:color="auto" w:sz="4" w:space="0"/>
              <w:right w:val="single" w:color="auto" w:sz="4" w:space="0"/>
            </w:tcBorders>
            <w:vAlign w:val="center"/>
          </w:tcPr>
          <w:p>
            <w:pPr>
              <w:ind w:right="105"/>
              <w:jc w:val="center"/>
              <w:rPr>
                <w:rFonts w:ascii="宋体" w:hAnsi="宋体" w:cs="宋体"/>
                <w:bCs/>
                <w:color w:val="000000"/>
              </w:rPr>
            </w:pPr>
          </w:p>
        </w:tc>
        <w:tc>
          <w:tcPr>
            <w:tcW w:w="809" w:type="dxa"/>
            <w:vMerge w:val="continue"/>
            <w:tcBorders>
              <w:left w:val="single" w:color="auto" w:sz="4" w:space="0"/>
              <w:right w:val="single" w:color="auto" w:sz="4" w:space="0"/>
            </w:tcBorders>
            <w:vAlign w:val="center"/>
          </w:tcPr>
          <w:p>
            <w:pPr>
              <w:jc w:val="center"/>
              <w:rPr>
                <w:rFonts w:ascii="宋体" w:hAnsi="宋体" w:cs="宋体"/>
                <w:bCs/>
                <w:color w:val="000000"/>
              </w:rPr>
            </w:pPr>
          </w:p>
        </w:tc>
        <w:tc>
          <w:tcPr>
            <w:tcW w:w="703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rPr>
            </w:pPr>
            <w:r>
              <w:rPr>
                <w:rFonts w:hint="eastAsia" w:ascii="宋体" w:hAnsi="宋体" w:cs="宋体"/>
                <w:bCs/>
                <w:color w:val="000000"/>
              </w:rPr>
              <w:t>本项目技术负责人同时具有“系统集成及服务”项目经理和二级建造师及B类安全员认证资格证书，得2分，没有得0分。（提供三份证书、有效劳动合同及近期社会保险单位交费证明材料复印件加盖公章，三者缺一本项不得分）。</w:t>
            </w:r>
          </w:p>
        </w:tc>
        <w:tc>
          <w:tcPr>
            <w:tcW w:w="5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rPr>
            </w:pPr>
            <w:r>
              <w:rPr>
                <w:rFonts w:hint="eastAsia" w:ascii="宋体" w:hAnsi="宋体" w:cs="宋体"/>
                <w:bCs/>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 w:hRule="atLeast"/>
        </w:trPr>
        <w:tc>
          <w:tcPr>
            <w:tcW w:w="575" w:type="dxa"/>
            <w:vMerge w:val="continue"/>
            <w:tcBorders>
              <w:left w:val="single" w:color="auto" w:sz="4" w:space="0"/>
              <w:right w:val="single" w:color="auto" w:sz="4" w:space="0"/>
            </w:tcBorders>
            <w:vAlign w:val="center"/>
          </w:tcPr>
          <w:p>
            <w:pPr>
              <w:ind w:right="105"/>
              <w:jc w:val="center"/>
              <w:rPr>
                <w:rFonts w:ascii="宋体" w:hAnsi="宋体" w:cs="宋体"/>
                <w:bCs/>
                <w:color w:val="000000"/>
              </w:rPr>
            </w:pPr>
          </w:p>
        </w:tc>
        <w:tc>
          <w:tcPr>
            <w:tcW w:w="809" w:type="dxa"/>
            <w:vMerge w:val="continue"/>
            <w:tcBorders>
              <w:left w:val="single" w:color="auto" w:sz="4" w:space="0"/>
              <w:right w:val="single" w:color="auto" w:sz="4" w:space="0"/>
            </w:tcBorders>
            <w:vAlign w:val="center"/>
          </w:tcPr>
          <w:p>
            <w:pPr>
              <w:jc w:val="center"/>
              <w:rPr>
                <w:rFonts w:ascii="宋体" w:hAnsi="宋体" w:cs="宋体"/>
                <w:bCs/>
                <w:color w:val="000000"/>
              </w:rPr>
            </w:pPr>
          </w:p>
        </w:tc>
        <w:tc>
          <w:tcPr>
            <w:tcW w:w="7031" w:type="dxa"/>
            <w:tcBorders>
              <w:top w:val="single" w:color="auto" w:sz="4" w:space="0"/>
              <w:left w:val="single" w:color="auto" w:sz="4" w:space="0"/>
              <w:bottom w:val="single" w:color="auto" w:sz="4" w:space="0"/>
              <w:right w:val="single" w:color="auto" w:sz="4" w:space="0"/>
            </w:tcBorders>
          </w:tcPr>
          <w:p>
            <w:pPr>
              <w:rPr>
                <w:rFonts w:ascii="宋体" w:hAnsi="宋体" w:cs="宋体"/>
                <w:bCs/>
                <w:color w:val="000000"/>
              </w:rPr>
            </w:pPr>
            <w:r>
              <w:rPr>
                <w:rFonts w:hint="eastAsia" w:ascii="宋体" w:hAnsi="宋体" w:cs="宋体"/>
                <w:bCs/>
                <w:color w:val="000000"/>
              </w:rPr>
              <w:t>投标方具有企业AAA及以上资信等级证书。</w:t>
            </w:r>
            <w:r>
              <w:rPr>
                <w:rFonts w:hint="eastAsia" w:ascii="宋体" w:hAnsi="宋体" w:cs="Arial"/>
                <w:bCs/>
                <w:color w:val="000000"/>
              </w:rPr>
              <w:t>（提供复印件并加盖公章，原件带至评审现场备查）</w:t>
            </w:r>
          </w:p>
        </w:tc>
        <w:tc>
          <w:tcPr>
            <w:tcW w:w="5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rPr>
            </w:pPr>
            <w:r>
              <w:rPr>
                <w:rFonts w:hint="eastAsia" w:ascii="宋体" w:hAnsi="宋体" w:cs="宋体"/>
                <w:bCs/>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 w:hRule="atLeast"/>
        </w:trPr>
        <w:tc>
          <w:tcPr>
            <w:tcW w:w="575" w:type="dxa"/>
            <w:vMerge w:val="continue"/>
            <w:tcBorders>
              <w:left w:val="single" w:color="auto" w:sz="4" w:space="0"/>
              <w:right w:val="single" w:color="auto" w:sz="4" w:space="0"/>
            </w:tcBorders>
            <w:vAlign w:val="center"/>
          </w:tcPr>
          <w:p>
            <w:pPr>
              <w:ind w:right="105"/>
              <w:jc w:val="center"/>
              <w:rPr>
                <w:rFonts w:ascii="宋体" w:hAnsi="宋体" w:cs="宋体"/>
                <w:bCs/>
                <w:color w:val="000000"/>
              </w:rPr>
            </w:pPr>
          </w:p>
        </w:tc>
        <w:tc>
          <w:tcPr>
            <w:tcW w:w="809" w:type="dxa"/>
            <w:vMerge w:val="continue"/>
            <w:tcBorders>
              <w:left w:val="single" w:color="auto" w:sz="4" w:space="0"/>
              <w:right w:val="single" w:color="auto" w:sz="4" w:space="0"/>
            </w:tcBorders>
            <w:vAlign w:val="center"/>
          </w:tcPr>
          <w:p>
            <w:pPr>
              <w:jc w:val="center"/>
              <w:rPr>
                <w:rFonts w:ascii="宋体" w:hAnsi="宋体" w:cs="宋体"/>
                <w:bCs/>
                <w:color w:val="000000"/>
              </w:rPr>
            </w:pPr>
          </w:p>
        </w:tc>
        <w:tc>
          <w:tcPr>
            <w:tcW w:w="7031"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sz w:val="20"/>
                <w:szCs w:val="20"/>
              </w:rPr>
            </w:pPr>
            <w:r>
              <w:rPr>
                <w:rFonts w:hint="eastAsia" w:ascii="宋体" w:hAnsi="宋体" w:cs="宋体"/>
                <w:bCs/>
                <w:color w:val="000000"/>
              </w:rPr>
              <w:t>投标方具有“高新技术企业”证书的得1分，没有得0分。（提供证书复印件加盖单位公章，原件备查）</w:t>
            </w:r>
          </w:p>
        </w:tc>
        <w:tc>
          <w:tcPr>
            <w:tcW w:w="5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rPr>
            </w:pPr>
            <w:r>
              <w:rPr>
                <w:rFonts w:hint="eastAsia" w:ascii="宋体" w:hAnsi="宋体" w:cs="宋体"/>
                <w:bCs/>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trPr>
        <w:tc>
          <w:tcPr>
            <w:tcW w:w="575" w:type="dxa"/>
            <w:vMerge w:val="continue"/>
            <w:tcBorders>
              <w:left w:val="single" w:color="auto" w:sz="4" w:space="0"/>
              <w:right w:val="single" w:color="auto" w:sz="4" w:space="0"/>
            </w:tcBorders>
            <w:vAlign w:val="center"/>
          </w:tcPr>
          <w:p>
            <w:pPr>
              <w:ind w:right="105"/>
              <w:jc w:val="center"/>
              <w:rPr>
                <w:rFonts w:ascii="宋体" w:hAnsi="宋体" w:cs="宋体"/>
                <w:bCs/>
                <w:color w:val="000000"/>
              </w:rPr>
            </w:pPr>
          </w:p>
        </w:tc>
        <w:tc>
          <w:tcPr>
            <w:tcW w:w="809" w:type="dxa"/>
            <w:vMerge w:val="continue"/>
            <w:tcBorders>
              <w:left w:val="single" w:color="auto" w:sz="4" w:space="0"/>
              <w:right w:val="single" w:color="auto" w:sz="4" w:space="0"/>
            </w:tcBorders>
            <w:vAlign w:val="center"/>
          </w:tcPr>
          <w:p>
            <w:pPr>
              <w:jc w:val="center"/>
              <w:rPr>
                <w:rFonts w:ascii="宋体" w:hAnsi="宋体" w:cs="宋体"/>
                <w:bCs/>
                <w:color w:val="000000"/>
              </w:rPr>
            </w:pPr>
          </w:p>
        </w:tc>
        <w:tc>
          <w:tcPr>
            <w:tcW w:w="7031" w:type="dxa"/>
            <w:tcBorders>
              <w:top w:val="single" w:color="auto" w:sz="4" w:space="0"/>
              <w:left w:val="single" w:color="auto" w:sz="4" w:space="0"/>
              <w:right w:val="single" w:color="auto" w:sz="4" w:space="0"/>
            </w:tcBorders>
          </w:tcPr>
          <w:p>
            <w:pPr>
              <w:rPr>
                <w:rFonts w:ascii="宋体" w:hAnsi="宋体" w:cs="宋体"/>
                <w:bCs/>
                <w:color w:val="000000"/>
              </w:rPr>
            </w:pPr>
            <w:r>
              <w:rPr>
                <w:rFonts w:hint="eastAsia" w:ascii="宋体" w:hAnsi="宋体" w:cs="宋体"/>
                <w:bCs/>
                <w:color w:val="000000"/>
              </w:rPr>
              <w:t>提供多媒体智能教学终端系统针对本项目的一期无缝对接承诺函原件</w:t>
            </w:r>
            <w:r>
              <w:rPr>
                <w:rFonts w:hint="eastAsia" w:ascii="微软雅黑" w:hAnsi="微软雅黑" w:cs="微软雅黑"/>
                <w:bCs/>
                <w:color w:val="000000"/>
                <w:sz w:val="24"/>
                <w:szCs w:val="24"/>
              </w:rPr>
              <w:t>并提供现场演示，根据现场演示的情况综合评分，最高分8分.</w:t>
            </w:r>
          </w:p>
        </w:tc>
        <w:tc>
          <w:tcPr>
            <w:tcW w:w="593" w:type="dxa"/>
            <w:tcBorders>
              <w:top w:val="single" w:color="auto" w:sz="4" w:space="0"/>
              <w:left w:val="single" w:color="auto" w:sz="4" w:space="0"/>
              <w:right w:val="single" w:color="auto" w:sz="4" w:space="0"/>
            </w:tcBorders>
            <w:vAlign w:val="center"/>
          </w:tcPr>
          <w:p>
            <w:pPr>
              <w:jc w:val="center"/>
              <w:rPr>
                <w:rFonts w:ascii="宋体" w:hAnsi="宋体" w:cs="宋体"/>
                <w:bCs/>
                <w:color w:val="000000"/>
              </w:rPr>
            </w:pPr>
            <w:r>
              <w:rPr>
                <w:rFonts w:hint="eastAsia" w:ascii="宋体" w:hAnsi="宋体" w:cs="宋体"/>
                <w:bCs/>
                <w:color w:val="00000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trPr>
        <w:tc>
          <w:tcPr>
            <w:tcW w:w="575" w:type="dxa"/>
            <w:vMerge w:val="continue"/>
            <w:tcBorders>
              <w:left w:val="single" w:color="auto" w:sz="4" w:space="0"/>
              <w:right w:val="single" w:color="auto" w:sz="4" w:space="0"/>
            </w:tcBorders>
            <w:vAlign w:val="center"/>
          </w:tcPr>
          <w:p>
            <w:pPr>
              <w:ind w:right="105"/>
              <w:jc w:val="center"/>
              <w:rPr>
                <w:rFonts w:ascii="宋体" w:hAnsi="宋体" w:cs="宋体"/>
                <w:bCs/>
                <w:color w:val="000000"/>
              </w:rPr>
            </w:pPr>
          </w:p>
        </w:tc>
        <w:tc>
          <w:tcPr>
            <w:tcW w:w="809" w:type="dxa"/>
            <w:vMerge w:val="continue"/>
            <w:tcBorders>
              <w:left w:val="single" w:color="auto" w:sz="4" w:space="0"/>
              <w:right w:val="single" w:color="auto" w:sz="4" w:space="0"/>
            </w:tcBorders>
            <w:vAlign w:val="center"/>
          </w:tcPr>
          <w:p>
            <w:pPr>
              <w:jc w:val="center"/>
              <w:rPr>
                <w:rFonts w:ascii="宋体" w:hAnsi="宋体" w:cs="宋体"/>
                <w:bCs/>
                <w:color w:val="000000"/>
              </w:rPr>
            </w:pPr>
          </w:p>
        </w:tc>
        <w:tc>
          <w:tcPr>
            <w:tcW w:w="7031" w:type="dxa"/>
            <w:tcBorders>
              <w:top w:val="single" w:color="auto" w:sz="4" w:space="0"/>
              <w:left w:val="single" w:color="auto" w:sz="4" w:space="0"/>
              <w:right w:val="single" w:color="auto" w:sz="4" w:space="0"/>
            </w:tcBorders>
          </w:tcPr>
          <w:p>
            <w:pPr>
              <w:rPr>
                <w:rFonts w:ascii="宋体" w:hAnsi="宋体" w:cs="宋体"/>
                <w:bCs/>
                <w:color w:val="000000"/>
              </w:rPr>
            </w:pPr>
            <w:r>
              <w:rPr>
                <w:rFonts w:hint="eastAsia" w:ascii="宋体" w:hAnsi="宋体" w:cs="宋体"/>
                <w:bCs/>
                <w:color w:val="000000"/>
              </w:rPr>
              <w:t>免费质保期3年，在此基础上，每增加1年得0.5分，最多2分</w:t>
            </w:r>
            <w:r>
              <w:rPr>
                <w:rFonts w:hint="eastAsia" w:ascii="宋体" w:hAnsi="宋体" w:cs="微软雅黑"/>
                <w:bCs/>
                <w:color w:val="000000"/>
                <w:szCs w:val="21"/>
              </w:rPr>
              <w:t>（根据投标方提供的核心设备的原厂质保函）。</w:t>
            </w:r>
          </w:p>
        </w:tc>
        <w:tc>
          <w:tcPr>
            <w:tcW w:w="593" w:type="dxa"/>
            <w:tcBorders>
              <w:left w:val="single" w:color="auto" w:sz="4" w:space="0"/>
              <w:bottom w:val="single" w:color="auto" w:sz="4" w:space="0"/>
              <w:right w:val="single" w:color="auto" w:sz="4" w:space="0"/>
            </w:tcBorders>
            <w:vAlign w:val="center"/>
          </w:tcPr>
          <w:p>
            <w:pPr>
              <w:jc w:val="center"/>
              <w:rPr>
                <w:rFonts w:ascii="宋体" w:hAnsi="宋体" w:cs="宋体"/>
                <w:bCs/>
                <w:color w:val="000000"/>
              </w:rPr>
            </w:pPr>
            <w:r>
              <w:rPr>
                <w:rFonts w:hint="eastAsia" w:ascii="宋体" w:hAnsi="宋体" w:cs="宋体"/>
                <w:bCs/>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7" w:hRule="atLeast"/>
        </w:trPr>
        <w:tc>
          <w:tcPr>
            <w:tcW w:w="575" w:type="dxa"/>
            <w:tcBorders>
              <w:top w:val="single" w:color="auto" w:sz="4" w:space="0"/>
              <w:left w:val="single" w:color="auto" w:sz="4" w:space="0"/>
              <w:bottom w:val="single" w:color="auto" w:sz="4" w:space="0"/>
              <w:right w:val="single" w:color="auto" w:sz="4" w:space="0"/>
            </w:tcBorders>
            <w:vAlign w:val="center"/>
          </w:tcPr>
          <w:p>
            <w:pPr>
              <w:ind w:right="105"/>
              <w:jc w:val="center"/>
              <w:rPr>
                <w:rFonts w:ascii="宋体" w:hAnsi="宋体" w:cs="宋体"/>
                <w:bCs/>
                <w:color w:val="000000"/>
              </w:rPr>
            </w:pPr>
            <w:r>
              <w:rPr>
                <w:rFonts w:hint="eastAsia" w:ascii="宋体" w:hAnsi="宋体" w:cs="宋体"/>
                <w:bCs/>
                <w:color w:val="000000"/>
              </w:rPr>
              <w:t>4</w:t>
            </w:r>
          </w:p>
        </w:tc>
        <w:tc>
          <w:tcPr>
            <w:tcW w:w="80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rPr>
            </w:pPr>
            <w:r>
              <w:rPr>
                <w:rFonts w:hint="eastAsia" w:ascii="宋体" w:hAnsi="宋体" w:cs="宋体"/>
                <w:bCs/>
                <w:color w:val="000000"/>
              </w:rPr>
              <w:t>同类业绩</w:t>
            </w:r>
          </w:p>
        </w:tc>
        <w:tc>
          <w:tcPr>
            <w:tcW w:w="703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rPr>
            </w:pPr>
            <w:r>
              <w:rPr>
                <w:rFonts w:hint="eastAsia" w:ascii="宋体" w:hAnsi="宋体" w:cs="Arial"/>
                <w:bCs/>
                <w:color w:val="000000"/>
              </w:rPr>
              <w:t>投标人在2016年1月1日至今具有与该项目类似的成功应用案例的提供资料复印</w:t>
            </w:r>
            <w:r>
              <w:rPr>
                <w:rFonts w:hint="eastAsia" w:ascii="宋体" w:hAnsi="宋体"/>
                <w:color w:val="000000"/>
              </w:rPr>
              <w:t>（含采购合同、竣工验收报告）</w:t>
            </w:r>
            <w:r>
              <w:rPr>
                <w:rFonts w:hint="eastAsia" w:ascii="宋体" w:hAnsi="宋体" w:cs="Arial"/>
                <w:bCs/>
                <w:color w:val="000000"/>
              </w:rPr>
              <w:t>，原件备查。有1个得2分，最多得6分。</w:t>
            </w:r>
          </w:p>
        </w:tc>
        <w:tc>
          <w:tcPr>
            <w:tcW w:w="5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Cs/>
                <w:color w:val="000000"/>
              </w:rPr>
            </w:pPr>
            <w:r>
              <w:rPr>
                <w:rFonts w:hint="eastAsia" w:ascii="宋体" w:hAnsi="宋体" w:cs="宋体"/>
                <w:bCs/>
                <w:color w:val="000000"/>
              </w:rPr>
              <w:t>6</w:t>
            </w:r>
          </w:p>
        </w:tc>
      </w:tr>
    </w:tbl>
    <w:p>
      <w:pPr>
        <w:spacing w:line="360" w:lineRule="auto"/>
        <w:rPr>
          <w:rFonts w:asciiTheme="minorEastAsia" w:hAnsiTheme="minorEastAsia" w:eastAsiaTheme="minorEastAsia"/>
          <w:bCs/>
        </w:rPr>
      </w:pPr>
    </w:p>
    <w:bookmarkEnd w:id="166"/>
    <w:p>
      <w:pPr>
        <w:pStyle w:val="2"/>
        <w:pageBreakBefore/>
        <w:rPr>
          <w:rFonts w:ascii="宋体" w:hAnsi="宋体" w:eastAsia="宋体"/>
          <w:b/>
          <w:bCs/>
          <w:sz w:val="44"/>
        </w:rPr>
      </w:pPr>
      <w:bookmarkStart w:id="168" w:name="_Toc523931349"/>
      <w:r>
        <w:rPr>
          <w:rFonts w:hint="eastAsia" w:ascii="宋体" w:hAnsi="宋体" w:eastAsia="宋体"/>
          <w:b/>
          <w:bCs/>
          <w:sz w:val="44"/>
        </w:rPr>
        <w:t>第五章  投标文件格式</w:t>
      </w:r>
      <w:bookmarkEnd w:id="168"/>
    </w:p>
    <w:p>
      <w:pPr>
        <w:jc w:val="center"/>
        <w:rPr>
          <w:rFonts w:ascii="宋体" w:hAnsi="宋体"/>
          <w:b/>
          <w:sz w:val="72"/>
        </w:rPr>
      </w:pPr>
      <w:bookmarkStart w:id="169" w:name="_Hlt26671244"/>
      <w:bookmarkEnd w:id="169"/>
      <w:bookmarkStart w:id="170" w:name="_Hlt26955039"/>
      <w:bookmarkEnd w:id="170"/>
      <w:bookmarkStart w:id="171" w:name="_Toc26554094"/>
      <w:bookmarkStart w:id="172" w:name="_Toc120614282"/>
      <w:bookmarkStart w:id="173"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30"/>
        <w:ind w:firstLine="0"/>
        <w:jc w:val="center"/>
        <w:rPr>
          <w:b/>
        </w:rPr>
      </w:pPr>
      <w:bookmarkStart w:id="174" w:name="_Toc517190894"/>
      <w:r>
        <w:rPr>
          <w:rFonts w:hint="eastAsia"/>
          <w:b/>
          <w:sz w:val="32"/>
        </w:rPr>
        <w:t>投标函格式</w:t>
      </w:r>
      <w:bookmarkEnd w:id="174"/>
    </w:p>
    <w:p>
      <w:pPr>
        <w:pStyle w:val="30"/>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30"/>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30"/>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30"/>
        <w:spacing w:before="0" w:after="0" w:line="420" w:lineRule="exact"/>
        <w:ind w:left="440" w:leftChars="200" w:firstLine="3500" w:firstLineChars="1250"/>
        <w:rPr>
          <w:rFonts w:ascii="宋体" w:hAnsi="宋体"/>
          <w:kern w:val="2"/>
          <w:sz w:val="28"/>
          <w:szCs w:val="21"/>
        </w:rPr>
      </w:pPr>
    </w:p>
    <w:p>
      <w:pPr>
        <w:pStyle w:val="30"/>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30"/>
        <w:ind w:firstLine="0"/>
        <w:jc w:val="center"/>
        <w:rPr>
          <w:b/>
          <w:sz w:val="32"/>
        </w:rPr>
      </w:pPr>
      <w:bookmarkStart w:id="175" w:name="_Toc517190895"/>
      <w:r>
        <w:rPr>
          <w:rFonts w:hint="eastAsia"/>
          <w:b/>
          <w:sz w:val="32"/>
        </w:rPr>
        <w:t>法人授权书</w:t>
      </w:r>
      <w:bookmarkEnd w:id="175"/>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6"/>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6"/>
        <w:spacing w:line="360" w:lineRule="auto"/>
        <w:ind w:firstLine="560"/>
        <w:jc w:val="right"/>
        <w:rPr>
          <w:rFonts w:asciiTheme="minorEastAsia" w:hAnsiTheme="minorEastAsia" w:eastAsiaTheme="minorEastAsia"/>
          <w:szCs w:val="24"/>
        </w:rPr>
      </w:pP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6"/>
        <w:spacing w:line="360" w:lineRule="auto"/>
        <w:ind w:firstLine="560"/>
        <w:jc w:val="right"/>
        <w:rPr>
          <w:rFonts w:asciiTheme="minorEastAsia" w:hAnsiTheme="minorEastAsia" w:eastAsiaTheme="minorEastAsia"/>
          <w:szCs w:val="24"/>
        </w:rPr>
      </w:pPr>
    </w:p>
    <w:p>
      <w:pPr>
        <w:pStyle w:val="46"/>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6" w:name="_格式3__银行出具的资信证明"/>
      <w:bookmarkEnd w:id="176"/>
      <w:bookmarkStart w:id="177" w:name="_Hlt26955070"/>
      <w:bookmarkEnd w:id="177"/>
      <w:bookmarkStart w:id="178" w:name="_Hlt26671380"/>
      <w:bookmarkEnd w:id="178"/>
    </w:p>
    <w:p>
      <w:pPr>
        <w:pStyle w:val="3"/>
        <w:rPr>
          <w:rFonts w:asciiTheme="minorEastAsia" w:hAnsiTheme="minorEastAsia" w:eastAsiaTheme="minorEastAsia"/>
          <w:sz w:val="36"/>
        </w:rPr>
      </w:pPr>
    </w:p>
    <w:p>
      <w:pPr>
        <w:pStyle w:val="30"/>
        <w:pageBreakBefore/>
        <w:ind w:firstLine="0"/>
        <w:jc w:val="center"/>
        <w:rPr>
          <w:b/>
          <w:sz w:val="32"/>
          <w:szCs w:val="20"/>
        </w:rPr>
      </w:pPr>
      <w:bookmarkStart w:id="179" w:name="_Toc517190896"/>
      <w:r>
        <w:rPr>
          <w:rFonts w:hint="eastAsia"/>
          <w:b/>
          <w:sz w:val="32"/>
        </w:rPr>
        <w:t>开标一览表</w:t>
      </w:r>
      <w:bookmarkEnd w:id="179"/>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9"/>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30"/>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30"/>
        <w:ind w:firstLine="0"/>
        <w:jc w:val="center"/>
        <w:rPr>
          <w:b/>
          <w:sz w:val="32"/>
        </w:rPr>
      </w:pPr>
      <w:r>
        <w:rPr>
          <w:rFonts w:hint="eastAsia"/>
          <w:b/>
          <w:sz w:val="32"/>
        </w:rPr>
        <w:t>投标产品配置及分项报价表</w:t>
      </w:r>
    </w:p>
    <w:tbl>
      <w:tblPr>
        <w:tblStyle w:val="1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1"/>
    <w:bookmarkEnd w:id="172"/>
    <w:bookmarkEnd w:id="173"/>
    <w:p>
      <w:pPr>
        <w:jc w:val="center"/>
        <w:rPr>
          <w:rFonts w:ascii="Arial" w:hAnsi="Arial" w:eastAsia="宋体" w:cs="Times New Roman"/>
          <w:b/>
          <w:sz w:val="32"/>
          <w:szCs w:val="24"/>
        </w:rPr>
      </w:pPr>
      <w:bookmarkStart w:id="180" w:name="_Toc120614284"/>
    </w:p>
    <w:p>
      <w:pPr>
        <w:jc w:val="center"/>
        <w:rPr>
          <w:rFonts w:asciiTheme="minorEastAsia" w:hAnsiTheme="minorEastAsia" w:eastAsiaTheme="minorEastAsia"/>
          <w:sz w:val="28"/>
          <w:szCs w:val="28"/>
        </w:rPr>
      </w:pPr>
      <w:r>
        <w:rPr>
          <w:rFonts w:hint="eastAsia" w:ascii="Arial" w:hAnsi="Arial" w:eastAsia="宋体" w:cs="Times New Roman"/>
          <w:b/>
          <w:sz w:val="32"/>
          <w:szCs w:val="24"/>
        </w:rPr>
        <w:t>技术参数响应及偏离表</w:t>
      </w:r>
    </w:p>
    <w:tbl>
      <w:tblPr>
        <w:tblStyle w:val="19"/>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2881"/>
        <w:gridCol w:w="2797"/>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50" w:hRule="atLeast"/>
        </w:trPr>
        <w:tc>
          <w:tcPr>
            <w:tcW w:w="66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8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79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29"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2" w:hRule="atLeast"/>
        </w:trPr>
        <w:tc>
          <w:tcPr>
            <w:tcW w:w="667" w:type="dxa"/>
          </w:tcPr>
          <w:p>
            <w:pPr>
              <w:jc w:val="center"/>
              <w:rPr>
                <w:rFonts w:asciiTheme="minorEastAsia" w:hAnsiTheme="minorEastAsia" w:eastAsiaTheme="minorEastAsia"/>
                <w:sz w:val="28"/>
                <w:szCs w:val="28"/>
              </w:rPr>
            </w:pPr>
          </w:p>
        </w:tc>
        <w:tc>
          <w:tcPr>
            <w:tcW w:w="2881" w:type="dxa"/>
          </w:tcPr>
          <w:p>
            <w:pPr>
              <w:pStyle w:val="15"/>
              <w:shd w:val="clear" w:color="auto" w:fill="FFFFFF"/>
              <w:spacing w:after="0"/>
              <w:rPr>
                <w:rFonts w:hint="default" w:asciiTheme="minorEastAsia" w:hAnsiTheme="minorEastAsia" w:eastAsiaTheme="minorEastAsia"/>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89"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65"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6"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8"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8" w:hRule="atLeast"/>
        </w:trPr>
        <w:tc>
          <w:tcPr>
            <w:tcW w:w="667" w:type="dxa"/>
          </w:tcPr>
          <w:p>
            <w:pPr>
              <w:rPr>
                <w:rFonts w:asciiTheme="minorEastAsia" w:hAnsiTheme="minorEastAsia" w:eastAsiaTheme="minorEastAsia"/>
                <w:szCs w:val="24"/>
              </w:rPr>
            </w:pPr>
          </w:p>
        </w:tc>
        <w:tc>
          <w:tcPr>
            <w:tcW w:w="2881" w:type="dxa"/>
          </w:tcPr>
          <w:p>
            <w:pPr>
              <w:rPr>
                <w:rFonts w:ascii="宋体" w:hAnsi="宋体" w:eastAsia="宋体" w:cs="宋体"/>
                <w:sz w:val="18"/>
                <w:szCs w:val="18"/>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8"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Theme="minorEastAsia" w:hAnsiTheme="minorEastAsia" w:eastAsiaTheme="minorEastAsia"/>
          <w:sz w:val="28"/>
          <w:szCs w:val="24"/>
        </w:rPr>
      </w:pPr>
    </w:p>
    <w:p>
      <w:pPr>
        <w:rPr>
          <w:rFonts w:ascii="黑体" w:hAnsi="Arial" w:eastAsia="黑体"/>
          <w:sz w:val="32"/>
        </w:rPr>
      </w:pPr>
    </w:p>
    <w:p>
      <w:pPr>
        <w:pStyle w:val="5"/>
      </w:pPr>
    </w:p>
    <w:bookmarkEnd w:id="180"/>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9"/>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财务报表等</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7427" w:firstLineChars="2055"/>
        <w:rPr>
          <w:rFonts w:ascii="宋体" w:hAnsi="宋体" w:eastAsia="宋体"/>
          <w:b/>
          <w:bCs/>
          <w:sz w:val="36"/>
          <w:szCs w:val="36"/>
        </w:rPr>
      </w:pP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2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24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24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2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9"/>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2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24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24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24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24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24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2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r>
        <w:rPr>
          <w:rFonts w:hint="eastAsia" w:asciiTheme="minorEastAsia" w:hAnsiTheme="minorEastAsia" w:eastAsiaTheme="minorEastAsia"/>
          <w:b/>
          <w:sz w:val="24"/>
          <w:szCs w:val="28"/>
        </w:rPr>
        <w:t>【</w:t>
      </w:r>
      <w:r>
        <w:rPr>
          <w:rFonts w:hint="eastAsia" w:asciiTheme="minorEastAsia" w:hAnsiTheme="minorEastAsia" w:eastAsiaTheme="minorEastAsia"/>
          <w:sz w:val="24"/>
          <w:szCs w:val="28"/>
        </w:rPr>
        <w:t>中标价20万(含)以下</w:t>
      </w:r>
      <w:r>
        <w:rPr>
          <w:rFonts w:hint="eastAsia" w:asciiTheme="minorEastAsia" w:hAnsiTheme="minorEastAsia" w:eastAsiaTheme="minorEastAsia"/>
          <w:b/>
          <w:sz w:val="24"/>
          <w:szCs w:val="28"/>
        </w:rPr>
        <w:t>】</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10"/>
        <w:spacing w:before="120" w:after="120" w:line="2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2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2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24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24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2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24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24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24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24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24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24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24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sectPr>
      <w:footerReference r:id="rId7" w:type="first"/>
      <w:headerReference r:id="rId4" w:type="default"/>
      <w:footerReference r:id="rId5" w:type="default"/>
      <w:footerReference r:id="rId6"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20</w:t>
    </w:r>
    <w:r>
      <w:rPr>
        <w:lang w:val="zh-CN"/>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Fonts w:ascii="宋体" w:hAnsi="宋体"/>
      </w:rPr>
    </w:pPr>
    <w:r>
      <w:rPr>
        <w:rFonts w:ascii="宋体" w:hAnsi="宋体"/>
      </w:rPr>
      <w:fldChar w:fldCharType="begin"/>
    </w:r>
    <w:r>
      <w:rPr>
        <w:rStyle w:val="22"/>
        <w:rFonts w:ascii="宋体" w:hAnsi="宋体"/>
      </w:rPr>
      <w:instrText xml:space="preserve">PAGE  </w:instrText>
    </w:r>
    <w:r>
      <w:rPr>
        <w:rFonts w:ascii="宋体" w:hAnsi="宋体"/>
      </w:rPr>
      <w:fldChar w:fldCharType="separate"/>
    </w:r>
    <w:r>
      <w:rPr>
        <w:rStyle w:val="22"/>
        <w:rFonts w:ascii="宋体" w:hAnsi="宋体"/>
      </w:rPr>
      <w:t>30</w:t>
    </w:r>
    <w:r>
      <w:rPr>
        <w:rFonts w:ascii="宋体" w:hAnsi="宋体"/>
      </w:rPr>
      <w:fldChar w:fldCharType="end"/>
    </w:r>
  </w:p>
  <w:p>
    <w:pPr>
      <w:pStyle w:val="12"/>
      <w:jc w:val="center"/>
      <w:rPr>
        <w:b/>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fldChar w:fldCharType="begin"/>
    </w:r>
    <w:r>
      <w:rPr>
        <w:rStyle w:val="22"/>
      </w:rPr>
      <w:instrText xml:space="preserve">PAGE  </w:instrText>
    </w:r>
    <w:r>
      <w:fldChar w:fldCharType="separate"/>
    </w:r>
    <w:r>
      <w:rPr>
        <w:rStyle w:val="22"/>
      </w:rPr>
      <w:t>1</w:t>
    </w:r>
    <w: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A4D13"/>
    <w:multiLevelType w:val="multilevel"/>
    <w:tmpl w:val="18BA4D13"/>
    <w:lvl w:ilvl="0" w:tentative="0">
      <w:start w:val="1"/>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
    <w:nsid w:val="4E84C5B0"/>
    <w:multiLevelType w:val="singleLevel"/>
    <w:tmpl w:val="4E84C5B0"/>
    <w:lvl w:ilvl="0" w:tentative="0">
      <w:start w:val="3"/>
      <w:numFmt w:val="chineseCounting"/>
      <w:suff w:val="nothing"/>
      <w:lvlText w:val="（%1）"/>
      <w:lvlJc w:val="left"/>
      <w:rPr>
        <w:rFonts w:hint="eastAsia"/>
      </w:rPr>
    </w:lvl>
  </w:abstractNum>
  <w:abstractNum w:abstractNumId="2">
    <w:nsid w:val="50466280"/>
    <w:multiLevelType w:val="multilevel"/>
    <w:tmpl w:val="50466280"/>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5C7E0EE5"/>
    <w:multiLevelType w:val="multilevel"/>
    <w:tmpl w:val="5C7E0EE5"/>
    <w:lvl w:ilvl="0" w:tentative="0">
      <w:start w:val="1"/>
      <w:numFmt w:val="chineseCountingThousand"/>
      <w:pStyle w:val="35"/>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BB06C31"/>
    <w:multiLevelType w:val="multilevel"/>
    <w:tmpl w:val="7BB06C31"/>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2"/>
  </w:compat>
  <w:rsids>
    <w:rsidRoot w:val="00D31D50"/>
    <w:rsid w:val="000022A4"/>
    <w:rsid w:val="00014B69"/>
    <w:rsid w:val="000154FB"/>
    <w:rsid w:val="000171C3"/>
    <w:rsid w:val="00026CA5"/>
    <w:rsid w:val="00034A2B"/>
    <w:rsid w:val="00045531"/>
    <w:rsid w:val="000458DB"/>
    <w:rsid w:val="00046D67"/>
    <w:rsid w:val="000508AB"/>
    <w:rsid w:val="00050D10"/>
    <w:rsid w:val="00053D2D"/>
    <w:rsid w:val="00053D8C"/>
    <w:rsid w:val="0005451A"/>
    <w:rsid w:val="00062EBC"/>
    <w:rsid w:val="00063E5E"/>
    <w:rsid w:val="00070968"/>
    <w:rsid w:val="00075408"/>
    <w:rsid w:val="000837AA"/>
    <w:rsid w:val="0008466D"/>
    <w:rsid w:val="00084756"/>
    <w:rsid w:val="00086A59"/>
    <w:rsid w:val="00090C36"/>
    <w:rsid w:val="00090C62"/>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11524"/>
    <w:rsid w:val="0012092A"/>
    <w:rsid w:val="001225B3"/>
    <w:rsid w:val="00124A3C"/>
    <w:rsid w:val="00125C10"/>
    <w:rsid w:val="00130370"/>
    <w:rsid w:val="00137666"/>
    <w:rsid w:val="00141840"/>
    <w:rsid w:val="001424D3"/>
    <w:rsid w:val="0016026B"/>
    <w:rsid w:val="00160A9B"/>
    <w:rsid w:val="001647DF"/>
    <w:rsid w:val="00165E37"/>
    <w:rsid w:val="00166953"/>
    <w:rsid w:val="001674B0"/>
    <w:rsid w:val="00167738"/>
    <w:rsid w:val="00170D4A"/>
    <w:rsid w:val="00180151"/>
    <w:rsid w:val="0018443B"/>
    <w:rsid w:val="00193521"/>
    <w:rsid w:val="00194D77"/>
    <w:rsid w:val="001A049C"/>
    <w:rsid w:val="001A76E7"/>
    <w:rsid w:val="001B679C"/>
    <w:rsid w:val="001B6A78"/>
    <w:rsid w:val="001B7516"/>
    <w:rsid w:val="001C20DD"/>
    <w:rsid w:val="001C2E89"/>
    <w:rsid w:val="001C4B26"/>
    <w:rsid w:val="001C64AC"/>
    <w:rsid w:val="001D0768"/>
    <w:rsid w:val="001D281C"/>
    <w:rsid w:val="001D477F"/>
    <w:rsid w:val="001D5A6A"/>
    <w:rsid w:val="001E030A"/>
    <w:rsid w:val="001E1FD2"/>
    <w:rsid w:val="001E4020"/>
    <w:rsid w:val="001E5F10"/>
    <w:rsid w:val="001E73B5"/>
    <w:rsid w:val="001F4F63"/>
    <w:rsid w:val="001F6C92"/>
    <w:rsid w:val="0020432E"/>
    <w:rsid w:val="00206503"/>
    <w:rsid w:val="002070F5"/>
    <w:rsid w:val="00232127"/>
    <w:rsid w:val="002327D4"/>
    <w:rsid w:val="002415CF"/>
    <w:rsid w:val="00244DA0"/>
    <w:rsid w:val="002453B7"/>
    <w:rsid w:val="00251521"/>
    <w:rsid w:val="0025535E"/>
    <w:rsid w:val="00257C1E"/>
    <w:rsid w:val="00266C11"/>
    <w:rsid w:val="00272CB4"/>
    <w:rsid w:val="00295368"/>
    <w:rsid w:val="0029740A"/>
    <w:rsid w:val="002A4DD3"/>
    <w:rsid w:val="002B0175"/>
    <w:rsid w:val="002B485D"/>
    <w:rsid w:val="002D2055"/>
    <w:rsid w:val="002D688F"/>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CE9"/>
    <w:rsid w:val="0036460C"/>
    <w:rsid w:val="00365285"/>
    <w:rsid w:val="0037490B"/>
    <w:rsid w:val="0038270D"/>
    <w:rsid w:val="00391340"/>
    <w:rsid w:val="00397BA9"/>
    <w:rsid w:val="003B1427"/>
    <w:rsid w:val="003B2DF7"/>
    <w:rsid w:val="003B3CF8"/>
    <w:rsid w:val="003C4103"/>
    <w:rsid w:val="003C7177"/>
    <w:rsid w:val="003D2715"/>
    <w:rsid w:val="003D37D8"/>
    <w:rsid w:val="003E2F0D"/>
    <w:rsid w:val="003F3546"/>
    <w:rsid w:val="003F6A3E"/>
    <w:rsid w:val="003F6DAB"/>
    <w:rsid w:val="003F7BE0"/>
    <w:rsid w:val="003F7CC8"/>
    <w:rsid w:val="00404C89"/>
    <w:rsid w:val="00411C53"/>
    <w:rsid w:val="00412566"/>
    <w:rsid w:val="00413A13"/>
    <w:rsid w:val="00414074"/>
    <w:rsid w:val="00421D40"/>
    <w:rsid w:val="00426133"/>
    <w:rsid w:val="00431F8A"/>
    <w:rsid w:val="00433AC1"/>
    <w:rsid w:val="004358AB"/>
    <w:rsid w:val="0043654C"/>
    <w:rsid w:val="004416FF"/>
    <w:rsid w:val="00442EE3"/>
    <w:rsid w:val="00443D5F"/>
    <w:rsid w:val="00443E49"/>
    <w:rsid w:val="004459E6"/>
    <w:rsid w:val="00446B9B"/>
    <w:rsid w:val="0044705E"/>
    <w:rsid w:val="00451E2F"/>
    <w:rsid w:val="00457AD9"/>
    <w:rsid w:val="00477C2E"/>
    <w:rsid w:val="004808C6"/>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41E69"/>
    <w:rsid w:val="00544D7E"/>
    <w:rsid w:val="0054541E"/>
    <w:rsid w:val="00557F99"/>
    <w:rsid w:val="005657AD"/>
    <w:rsid w:val="0057236C"/>
    <w:rsid w:val="0057580C"/>
    <w:rsid w:val="00575FC2"/>
    <w:rsid w:val="0058115B"/>
    <w:rsid w:val="00582807"/>
    <w:rsid w:val="00582977"/>
    <w:rsid w:val="00582B84"/>
    <w:rsid w:val="00584418"/>
    <w:rsid w:val="005866DD"/>
    <w:rsid w:val="00590D7C"/>
    <w:rsid w:val="0059317B"/>
    <w:rsid w:val="00596F67"/>
    <w:rsid w:val="005B00B9"/>
    <w:rsid w:val="005B3D87"/>
    <w:rsid w:val="005B44B4"/>
    <w:rsid w:val="005C005E"/>
    <w:rsid w:val="005C66D3"/>
    <w:rsid w:val="005D2E1F"/>
    <w:rsid w:val="005D2F1F"/>
    <w:rsid w:val="005E1607"/>
    <w:rsid w:val="005E27F0"/>
    <w:rsid w:val="005E6864"/>
    <w:rsid w:val="005F103C"/>
    <w:rsid w:val="00601FB9"/>
    <w:rsid w:val="006020C3"/>
    <w:rsid w:val="0060453F"/>
    <w:rsid w:val="006045FD"/>
    <w:rsid w:val="006073C6"/>
    <w:rsid w:val="006160DD"/>
    <w:rsid w:val="006218B4"/>
    <w:rsid w:val="0062392B"/>
    <w:rsid w:val="006411FE"/>
    <w:rsid w:val="006600C0"/>
    <w:rsid w:val="00663D89"/>
    <w:rsid w:val="00667558"/>
    <w:rsid w:val="00681F07"/>
    <w:rsid w:val="00682C03"/>
    <w:rsid w:val="00691BD5"/>
    <w:rsid w:val="00695BF8"/>
    <w:rsid w:val="006977C3"/>
    <w:rsid w:val="006A096A"/>
    <w:rsid w:val="006B0EB6"/>
    <w:rsid w:val="006B4013"/>
    <w:rsid w:val="006B6C40"/>
    <w:rsid w:val="006C6B1D"/>
    <w:rsid w:val="006D004C"/>
    <w:rsid w:val="006D1B0D"/>
    <w:rsid w:val="006D2726"/>
    <w:rsid w:val="006E1848"/>
    <w:rsid w:val="006E482E"/>
    <w:rsid w:val="006E7A99"/>
    <w:rsid w:val="006F283A"/>
    <w:rsid w:val="00705F93"/>
    <w:rsid w:val="00710E53"/>
    <w:rsid w:val="0071106B"/>
    <w:rsid w:val="00711F9D"/>
    <w:rsid w:val="007178CD"/>
    <w:rsid w:val="00722B49"/>
    <w:rsid w:val="00723E54"/>
    <w:rsid w:val="00725153"/>
    <w:rsid w:val="007253FF"/>
    <w:rsid w:val="00726D9C"/>
    <w:rsid w:val="00731E48"/>
    <w:rsid w:val="007327F0"/>
    <w:rsid w:val="00732820"/>
    <w:rsid w:val="0074740B"/>
    <w:rsid w:val="00747556"/>
    <w:rsid w:val="007543D9"/>
    <w:rsid w:val="00754FBF"/>
    <w:rsid w:val="00755373"/>
    <w:rsid w:val="00770628"/>
    <w:rsid w:val="007730F5"/>
    <w:rsid w:val="00783B4C"/>
    <w:rsid w:val="00791FC9"/>
    <w:rsid w:val="00792482"/>
    <w:rsid w:val="0079316D"/>
    <w:rsid w:val="007947E9"/>
    <w:rsid w:val="007A58F8"/>
    <w:rsid w:val="007B3D32"/>
    <w:rsid w:val="007C2D47"/>
    <w:rsid w:val="007E0F09"/>
    <w:rsid w:val="007E2F52"/>
    <w:rsid w:val="007E466E"/>
    <w:rsid w:val="007E5C50"/>
    <w:rsid w:val="007E62FC"/>
    <w:rsid w:val="007E7839"/>
    <w:rsid w:val="007F1718"/>
    <w:rsid w:val="007F18E6"/>
    <w:rsid w:val="007F226B"/>
    <w:rsid w:val="007F41F0"/>
    <w:rsid w:val="00801146"/>
    <w:rsid w:val="00814865"/>
    <w:rsid w:val="008266D1"/>
    <w:rsid w:val="008324FE"/>
    <w:rsid w:val="0083334C"/>
    <w:rsid w:val="00833AE1"/>
    <w:rsid w:val="00834323"/>
    <w:rsid w:val="00841379"/>
    <w:rsid w:val="0085068C"/>
    <w:rsid w:val="00853556"/>
    <w:rsid w:val="0085411F"/>
    <w:rsid w:val="008545FA"/>
    <w:rsid w:val="00863149"/>
    <w:rsid w:val="00871461"/>
    <w:rsid w:val="00881E8B"/>
    <w:rsid w:val="00881EB1"/>
    <w:rsid w:val="00891674"/>
    <w:rsid w:val="008940B1"/>
    <w:rsid w:val="008944FE"/>
    <w:rsid w:val="008A19CF"/>
    <w:rsid w:val="008A2C91"/>
    <w:rsid w:val="008B0B7A"/>
    <w:rsid w:val="008B154E"/>
    <w:rsid w:val="008B7726"/>
    <w:rsid w:val="008C5578"/>
    <w:rsid w:val="008C6718"/>
    <w:rsid w:val="008D758B"/>
    <w:rsid w:val="008E0843"/>
    <w:rsid w:val="008E0CA1"/>
    <w:rsid w:val="008E251D"/>
    <w:rsid w:val="008E6860"/>
    <w:rsid w:val="008E6F14"/>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66A4"/>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E707D"/>
    <w:rsid w:val="009F148D"/>
    <w:rsid w:val="009F2B90"/>
    <w:rsid w:val="009F453D"/>
    <w:rsid w:val="00A02CA7"/>
    <w:rsid w:val="00A0465D"/>
    <w:rsid w:val="00A118C2"/>
    <w:rsid w:val="00A157F0"/>
    <w:rsid w:val="00A205F4"/>
    <w:rsid w:val="00A25BDC"/>
    <w:rsid w:val="00A25E57"/>
    <w:rsid w:val="00A4464F"/>
    <w:rsid w:val="00A46E8D"/>
    <w:rsid w:val="00A478D2"/>
    <w:rsid w:val="00A536D3"/>
    <w:rsid w:val="00A63CCE"/>
    <w:rsid w:val="00A64A8A"/>
    <w:rsid w:val="00A67624"/>
    <w:rsid w:val="00A719C8"/>
    <w:rsid w:val="00A754E0"/>
    <w:rsid w:val="00A818BE"/>
    <w:rsid w:val="00A84971"/>
    <w:rsid w:val="00A911AC"/>
    <w:rsid w:val="00A960CD"/>
    <w:rsid w:val="00AA10B3"/>
    <w:rsid w:val="00AA278C"/>
    <w:rsid w:val="00AB3CFF"/>
    <w:rsid w:val="00AC2325"/>
    <w:rsid w:val="00AC3CE4"/>
    <w:rsid w:val="00AC7725"/>
    <w:rsid w:val="00AD1032"/>
    <w:rsid w:val="00AD713B"/>
    <w:rsid w:val="00AE2104"/>
    <w:rsid w:val="00AE5082"/>
    <w:rsid w:val="00AE6332"/>
    <w:rsid w:val="00AE7106"/>
    <w:rsid w:val="00AF0E8F"/>
    <w:rsid w:val="00AF3ACC"/>
    <w:rsid w:val="00AF539E"/>
    <w:rsid w:val="00AF709E"/>
    <w:rsid w:val="00B06748"/>
    <w:rsid w:val="00B10D4E"/>
    <w:rsid w:val="00B14B96"/>
    <w:rsid w:val="00B300AE"/>
    <w:rsid w:val="00B312ED"/>
    <w:rsid w:val="00B3222B"/>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3218"/>
    <w:rsid w:val="00B9381E"/>
    <w:rsid w:val="00B93B01"/>
    <w:rsid w:val="00B9568F"/>
    <w:rsid w:val="00B97749"/>
    <w:rsid w:val="00B97E23"/>
    <w:rsid w:val="00BA4580"/>
    <w:rsid w:val="00BA78DC"/>
    <w:rsid w:val="00BB2734"/>
    <w:rsid w:val="00BB3582"/>
    <w:rsid w:val="00BB38D0"/>
    <w:rsid w:val="00BB7A3D"/>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26286"/>
    <w:rsid w:val="00C30C20"/>
    <w:rsid w:val="00C370CA"/>
    <w:rsid w:val="00C40E65"/>
    <w:rsid w:val="00C43A01"/>
    <w:rsid w:val="00C44CED"/>
    <w:rsid w:val="00C541CB"/>
    <w:rsid w:val="00C55166"/>
    <w:rsid w:val="00C714F0"/>
    <w:rsid w:val="00C76558"/>
    <w:rsid w:val="00C86FD4"/>
    <w:rsid w:val="00C96654"/>
    <w:rsid w:val="00CB2130"/>
    <w:rsid w:val="00CB3C11"/>
    <w:rsid w:val="00CB511C"/>
    <w:rsid w:val="00CD16E9"/>
    <w:rsid w:val="00CD4D83"/>
    <w:rsid w:val="00CE18E8"/>
    <w:rsid w:val="00D00CAA"/>
    <w:rsid w:val="00D00D6F"/>
    <w:rsid w:val="00D126C6"/>
    <w:rsid w:val="00D1587C"/>
    <w:rsid w:val="00D259B3"/>
    <w:rsid w:val="00D25F42"/>
    <w:rsid w:val="00D278D7"/>
    <w:rsid w:val="00D279B0"/>
    <w:rsid w:val="00D31D50"/>
    <w:rsid w:val="00D323F9"/>
    <w:rsid w:val="00D4211D"/>
    <w:rsid w:val="00D44B37"/>
    <w:rsid w:val="00D4693D"/>
    <w:rsid w:val="00D5054E"/>
    <w:rsid w:val="00D53633"/>
    <w:rsid w:val="00D56CB6"/>
    <w:rsid w:val="00D61AE7"/>
    <w:rsid w:val="00D634CC"/>
    <w:rsid w:val="00D77EC9"/>
    <w:rsid w:val="00D81D23"/>
    <w:rsid w:val="00D87330"/>
    <w:rsid w:val="00D9005C"/>
    <w:rsid w:val="00DA1746"/>
    <w:rsid w:val="00DA3EA3"/>
    <w:rsid w:val="00DA4334"/>
    <w:rsid w:val="00DA76FE"/>
    <w:rsid w:val="00DB1721"/>
    <w:rsid w:val="00DB3826"/>
    <w:rsid w:val="00DB5FD8"/>
    <w:rsid w:val="00DC26C4"/>
    <w:rsid w:val="00DD5681"/>
    <w:rsid w:val="00DD6316"/>
    <w:rsid w:val="00DE05FA"/>
    <w:rsid w:val="00DE421A"/>
    <w:rsid w:val="00DE5B7E"/>
    <w:rsid w:val="00DF12D7"/>
    <w:rsid w:val="00DF16E1"/>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5074"/>
    <w:rsid w:val="00E81B75"/>
    <w:rsid w:val="00E8447A"/>
    <w:rsid w:val="00E85DDD"/>
    <w:rsid w:val="00E95E13"/>
    <w:rsid w:val="00EA5C99"/>
    <w:rsid w:val="00EA62FB"/>
    <w:rsid w:val="00EA6783"/>
    <w:rsid w:val="00EA6CDE"/>
    <w:rsid w:val="00EB0C34"/>
    <w:rsid w:val="00EB187E"/>
    <w:rsid w:val="00EC287F"/>
    <w:rsid w:val="00EC3C23"/>
    <w:rsid w:val="00ED0853"/>
    <w:rsid w:val="00ED0F18"/>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5231B"/>
    <w:rsid w:val="00F5564E"/>
    <w:rsid w:val="00F60B40"/>
    <w:rsid w:val="00F64CC8"/>
    <w:rsid w:val="00F80C8D"/>
    <w:rsid w:val="00F8761F"/>
    <w:rsid w:val="00F94053"/>
    <w:rsid w:val="00F94356"/>
    <w:rsid w:val="00F952C7"/>
    <w:rsid w:val="00F96BF5"/>
    <w:rsid w:val="00FA1FA5"/>
    <w:rsid w:val="00FA4F5F"/>
    <w:rsid w:val="00FA60F0"/>
    <w:rsid w:val="00FA7B45"/>
    <w:rsid w:val="00FB0011"/>
    <w:rsid w:val="00FB12B8"/>
    <w:rsid w:val="00FB608D"/>
    <w:rsid w:val="00FC0436"/>
    <w:rsid w:val="00FC0456"/>
    <w:rsid w:val="00FC3104"/>
    <w:rsid w:val="00FE7396"/>
    <w:rsid w:val="00FF3FAD"/>
    <w:rsid w:val="00FF44F0"/>
    <w:rsid w:val="00FF7A26"/>
    <w:rsid w:val="014C1FAD"/>
    <w:rsid w:val="01524198"/>
    <w:rsid w:val="02DF3181"/>
    <w:rsid w:val="03904164"/>
    <w:rsid w:val="04C532C1"/>
    <w:rsid w:val="05CF793F"/>
    <w:rsid w:val="06BE0B9B"/>
    <w:rsid w:val="075B49A7"/>
    <w:rsid w:val="07B23C57"/>
    <w:rsid w:val="08197032"/>
    <w:rsid w:val="08284001"/>
    <w:rsid w:val="095A1BDE"/>
    <w:rsid w:val="09E00F8C"/>
    <w:rsid w:val="0A2F6129"/>
    <w:rsid w:val="0ADA47CA"/>
    <w:rsid w:val="0CE00C76"/>
    <w:rsid w:val="0D78001C"/>
    <w:rsid w:val="0D7C3718"/>
    <w:rsid w:val="0DD31207"/>
    <w:rsid w:val="0E074E44"/>
    <w:rsid w:val="0F752313"/>
    <w:rsid w:val="0FD1242C"/>
    <w:rsid w:val="102533FE"/>
    <w:rsid w:val="106C4270"/>
    <w:rsid w:val="10B26CB4"/>
    <w:rsid w:val="11413554"/>
    <w:rsid w:val="11BC05DF"/>
    <w:rsid w:val="11FF1595"/>
    <w:rsid w:val="1375348B"/>
    <w:rsid w:val="13EE28F8"/>
    <w:rsid w:val="145816CD"/>
    <w:rsid w:val="14841105"/>
    <w:rsid w:val="149644A0"/>
    <w:rsid w:val="14F817DB"/>
    <w:rsid w:val="151E0C73"/>
    <w:rsid w:val="15215F82"/>
    <w:rsid w:val="15303033"/>
    <w:rsid w:val="18A80505"/>
    <w:rsid w:val="18DE5A24"/>
    <w:rsid w:val="194D390C"/>
    <w:rsid w:val="19E73B0A"/>
    <w:rsid w:val="1A300E2F"/>
    <w:rsid w:val="1A57576E"/>
    <w:rsid w:val="1AA37FB4"/>
    <w:rsid w:val="1B0767C7"/>
    <w:rsid w:val="1BAA69C1"/>
    <w:rsid w:val="1BD874CB"/>
    <w:rsid w:val="1BD978E5"/>
    <w:rsid w:val="1C2657EA"/>
    <w:rsid w:val="1C534421"/>
    <w:rsid w:val="1C5547E5"/>
    <w:rsid w:val="1DE36E39"/>
    <w:rsid w:val="1DE91068"/>
    <w:rsid w:val="1E6F567C"/>
    <w:rsid w:val="1ED52110"/>
    <w:rsid w:val="1EE54EA4"/>
    <w:rsid w:val="1FD56611"/>
    <w:rsid w:val="2028292B"/>
    <w:rsid w:val="20C814E5"/>
    <w:rsid w:val="21A863BD"/>
    <w:rsid w:val="21CD5A95"/>
    <w:rsid w:val="224B6541"/>
    <w:rsid w:val="22D94F0A"/>
    <w:rsid w:val="23711F72"/>
    <w:rsid w:val="245E32C3"/>
    <w:rsid w:val="24911BB8"/>
    <w:rsid w:val="25086568"/>
    <w:rsid w:val="262007D7"/>
    <w:rsid w:val="282C2534"/>
    <w:rsid w:val="2841305B"/>
    <w:rsid w:val="28472A89"/>
    <w:rsid w:val="29021183"/>
    <w:rsid w:val="2ADC1097"/>
    <w:rsid w:val="2BA64901"/>
    <w:rsid w:val="2C590A51"/>
    <w:rsid w:val="2D82734B"/>
    <w:rsid w:val="2D926DA5"/>
    <w:rsid w:val="2D9663BC"/>
    <w:rsid w:val="2DA207F9"/>
    <w:rsid w:val="2E7D7F8A"/>
    <w:rsid w:val="2FA41C65"/>
    <w:rsid w:val="303A40D0"/>
    <w:rsid w:val="303B1173"/>
    <w:rsid w:val="30792EE8"/>
    <w:rsid w:val="309C5EE6"/>
    <w:rsid w:val="311B0FC8"/>
    <w:rsid w:val="31264406"/>
    <w:rsid w:val="32AC61F4"/>
    <w:rsid w:val="33BA6CED"/>
    <w:rsid w:val="34DA67D6"/>
    <w:rsid w:val="364C2779"/>
    <w:rsid w:val="368E5A53"/>
    <w:rsid w:val="37291A7B"/>
    <w:rsid w:val="38345307"/>
    <w:rsid w:val="383D6105"/>
    <w:rsid w:val="3A6C60EB"/>
    <w:rsid w:val="3B740CCC"/>
    <w:rsid w:val="3BFC2D93"/>
    <w:rsid w:val="3C054F91"/>
    <w:rsid w:val="3C857B00"/>
    <w:rsid w:val="3CAA0869"/>
    <w:rsid w:val="3D0342E9"/>
    <w:rsid w:val="3D077115"/>
    <w:rsid w:val="3DDC64C5"/>
    <w:rsid w:val="3DE92E71"/>
    <w:rsid w:val="3E6A131D"/>
    <w:rsid w:val="3EA07AEE"/>
    <w:rsid w:val="3ED11798"/>
    <w:rsid w:val="3F1C226C"/>
    <w:rsid w:val="3FD35CB5"/>
    <w:rsid w:val="3FD4574F"/>
    <w:rsid w:val="40B21683"/>
    <w:rsid w:val="42244665"/>
    <w:rsid w:val="434250C4"/>
    <w:rsid w:val="440D1E8B"/>
    <w:rsid w:val="44947F5C"/>
    <w:rsid w:val="45706BF6"/>
    <w:rsid w:val="45757804"/>
    <w:rsid w:val="45BB0D03"/>
    <w:rsid w:val="45E71721"/>
    <w:rsid w:val="47322D1B"/>
    <w:rsid w:val="47786E6D"/>
    <w:rsid w:val="47F62E9A"/>
    <w:rsid w:val="485C0159"/>
    <w:rsid w:val="48675371"/>
    <w:rsid w:val="491C02E2"/>
    <w:rsid w:val="49605258"/>
    <w:rsid w:val="4ABD1A46"/>
    <w:rsid w:val="4D713219"/>
    <w:rsid w:val="4D8C55FB"/>
    <w:rsid w:val="4DB926A4"/>
    <w:rsid w:val="4DF83241"/>
    <w:rsid w:val="4E7A146B"/>
    <w:rsid w:val="4FE9596A"/>
    <w:rsid w:val="50DE68C6"/>
    <w:rsid w:val="50EC5D9F"/>
    <w:rsid w:val="51BD23E6"/>
    <w:rsid w:val="51FA0F41"/>
    <w:rsid w:val="52D36703"/>
    <w:rsid w:val="54BE5A7A"/>
    <w:rsid w:val="54EE7252"/>
    <w:rsid w:val="56747820"/>
    <w:rsid w:val="56AA4F2E"/>
    <w:rsid w:val="57421B4C"/>
    <w:rsid w:val="5787736D"/>
    <w:rsid w:val="57D86562"/>
    <w:rsid w:val="57E21038"/>
    <w:rsid w:val="58FA749F"/>
    <w:rsid w:val="59521601"/>
    <w:rsid w:val="598A4682"/>
    <w:rsid w:val="5A24547F"/>
    <w:rsid w:val="5A5E0252"/>
    <w:rsid w:val="5B272738"/>
    <w:rsid w:val="5C883568"/>
    <w:rsid w:val="5F595645"/>
    <w:rsid w:val="606A5E00"/>
    <w:rsid w:val="61DB5282"/>
    <w:rsid w:val="61F8565D"/>
    <w:rsid w:val="624637B4"/>
    <w:rsid w:val="62B40A29"/>
    <w:rsid w:val="62CD3F75"/>
    <w:rsid w:val="62DF28E1"/>
    <w:rsid w:val="634E531F"/>
    <w:rsid w:val="635B13F0"/>
    <w:rsid w:val="638F52C9"/>
    <w:rsid w:val="6398633A"/>
    <w:rsid w:val="64103D49"/>
    <w:rsid w:val="645D16B1"/>
    <w:rsid w:val="647F13B0"/>
    <w:rsid w:val="6599435F"/>
    <w:rsid w:val="66F94B59"/>
    <w:rsid w:val="670C4548"/>
    <w:rsid w:val="67B062B6"/>
    <w:rsid w:val="680B4B52"/>
    <w:rsid w:val="680C42AB"/>
    <w:rsid w:val="68FF25C4"/>
    <w:rsid w:val="69CF2AAD"/>
    <w:rsid w:val="6A951211"/>
    <w:rsid w:val="6AB91542"/>
    <w:rsid w:val="6B51339C"/>
    <w:rsid w:val="6C2A57B1"/>
    <w:rsid w:val="6CA10966"/>
    <w:rsid w:val="6CFA6BFA"/>
    <w:rsid w:val="6D6A4E98"/>
    <w:rsid w:val="6D850418"/>
    <w:rsid w:val="6DCA5D6D"/>
    <w:rsid w:val="6EC807CF"/>
    <w:rsid w:val="6FF6397F"/>
    <w:rsid w:val="701B71A8"/>
    <w:rsid w:val="706B1D45"/>
    <w:rsid w:val="707A35D9"/>
    <w:rsid w:val="70961EDC"/>
    <w:rsid w:val="714A67B8"/>
    <w:rsid w:val="71740794"/>
    <w:rsid w:val="71A01282"/>
    <w:rsid w:val="724A0000"/>
    <w:rsid w:val="73642387"/>
    <w:rsid w:val="739C62E2"/>
    <w:rsid w:val="739F3436"/>
    <w:rsid w:val="7640553D"/>
    <w:rsid w:val="768D391A"/>
    <w:rsid w:val="77B413A5"/>
    <w:rsid w:val="77C80D59"/>
    <w:rsid w:val="78263051"/>
    <w:rsid w:val="78853DD4"/>
    <w:rsid w:val="790C66A3"/>
    <w:rsid w:val="7A7760CA"/>
    <w:rsid w:val="7B0458B3"/>
    <w:rsid w:val="7B281D3D"/>
    <w:rsid w:val="7B82185A"/>
    <w:rsid w:val="7C5615AE"/>
    <w:rsid w:val="7D7E5E21"/>
    <w:rsid w:val="7F4D2A05"/>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8"/>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4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31"/>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2"/>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20">
    <w:name w:val="Default Paragraph Font"/>
    <w:semiHidden/>
    <w:unhideWhenUsed/>
    <w:uiPriority w:val="1"/>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7"/>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9"/>
    <w:semiHidden/>
    <w:unhideWhenUsed/>
    <w:qFormat/>
    <w:uiPriority w:val="99"/>
  </w:style>
  <w:style w:type="paragraph" w:styleId="8">
    <w:name w:val="Body Text"/>
    <w:basedOn w:val="1"/>
    <w:link w:val="43"/>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40"/>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8"/>
    <w:semiHidden/>
    <w:unhideWhenUsed/>
    <w:qFormat/>
    <w:uiPriority w:val="99"/>
    <w:pPr>
      <w:spacing w:after="0"/>
    </w:pPr>
    <w:rPr>
      <w:sz w:val="18"/>
      <w:szCs w:val="18"/>
    </w:rPr>
  </w:style>
  <w:style w:type="paragraph" w:styleId="12">
    <w:name w:val="footer"/>
    <w:basedOn w:val="1"/>
    <w:link w:val="27"/>
    <w:unhideWhenUsed/>
    <w:qFormat/>
    <w:uiPriority w:val="99"/>
    <w:pPr>
      <w:tabs>
        <w:tab w:val="center" w:pos="4153"/>
        <w:tab w:val="right" w:pos="8306"/>
      </w:tabs>
    </w:pPr>
    <w:rPr>
      <w:sz w:val="18"/>
      <w:szCs w:val="18"/>
    </w:rPr>
  </w:style>
  <w:style w:type="paragraph" w:styleId="13">
    <w:name w:val="header"/>
    <w:basedOn w:val="1"/>
    <w:link w:val="26"/>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rPr>
  </w:style>
  <w:style w:type="paragraph" w:styleId="16">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7">
    <w:name w:val="Title"/>
    <w:basedOn w:val="1"/>
    <w:next w:val="1"/>
    <w:link w:val="33"/>
    <w:qFormat/>
    <w:uiPriority w:val="0"/>
    <w:pPr>
      <w:widowControl w:val="0"/>
      <w:adjustRightInd/>
      <w:snapToGrid/>
      <w:spacing w:before="240" w:after="60"/>
      <w:jc w:val="center"/>
      <w:outlineLvl w:val="0"/>
    </w:pPr>
    <w:rPr>
      <w:rFonts w:ascii="Cambria" w:hAnsi="Cambria"/>
      <w:b/>
      <w:bCs/>
      <w:kern w:val="2"/>
      <w:sz w:val="32"/>
      <w:szCs w:val="32"/>
    </w:rPr>
  </w:style>
  <w:style w:type="paragraph" w:styleId="18">
    <w:name w:val="annotation subject"/>
    <w:basedOn w:val="7"/>
    <w:next w:val="7"/>
    <w:link w:val="50"/>
    <w:semiHidden/>
    <w:unhideWhenUsed/>
    <w:qFormat/>
    <w:uiPriority w:val="99"/>
    <w:rPr>
      <w:b/>
      <w:bCs/>
    </w:rPr>
  </w:style>
  <w:style w:type="character" w:styleId="21">
    <w:name w:val="Strong"/>
    <w:basedOn w:val="20"/>
    <w:qFormat/>
    <w:uiPriority w:val="22"/>
    <w:rPr>
      <w:b/>
    </w:rPr>
  </w:style>
  <w:style w:type="character" w:styleId="22">
    <w:name w:val="page number"/>
    <w:basedOn w:val="20"/>
    <w:qFormat/>
    <w:uiPriority w:val="0"/>
  </w:style>
  <w:style w:type="character" w:styleId="23">
    <w:name w:val="FollowedHyperlink"/>
    <w:basedOn w:val="20"/>
    <w:semiHidden/>
    <w:unhideWhenUsed/>
    <w:qFormat/>
    <w:uiPriority w:val="99"/>
    <w:rPr>
      <w:color w:val="6A29B9"/>
      <w:u w:val="none"/>
    </w:rPr>
  </w:style>
  <w:style w:type="character" w:styleId="24">
    <w:name w:val="Hyperlink"/>
    <w:basedOn w:val="20"/>
    <w:qFormat/>
    <w:uiPriority w:val="99"/>
    <w:rPr>
      <w:color w:val="0654BA"/>
      <w:u w:val="none"/>
    </w:rPr>
  </w:style>
  <w:style w:type="character" w:styleId="25">
    <w:name w:val="annotation reference"/>
    <w:basedOn w:val="20"/>
    <w:semiHidden/>
    <w:unhideWhenUsed/>
    <w:qFormat/>
    <w:uiPriority w:val="99"/>
    <w:rPr>
      <w:sz w:val="21"/>
      <w:szCs w:val="21"/>
    </w:rPr>
  </w:style>
  <w:style w:type="character" w:customStyle="1" w:styleId="26">
    <w:name w:val="页眉 Char"/>
    <w:basedOn w:val="20"/>
    <w:link w:val="13"/>
    <w:qFormat/>
    <w:uiPriority w:val="99"/>
    <w:rPr>
      <w:rFonts w:ascii="Tahoma" w:hAnsi="Tahoma"/>
      <w:sz w:val="18"/>
      <w:szCs w:val="18"/>
    </w:rPr>
  </w:style>
  <w:style w:type="character" w:customStyle="1" w:styleId="27">
    <w:name w:val="页脚 Char"/>
    <w:basedOn w:val="20"/>
    <w:link w:val="12"/>
    <w:qFormat/>
    <w:uiPriority w:val="99"/>
    <w:rPr>
      <w:rFonts w:ascii="Tahoma" w:hAnsi="Tahoma"/>
      <w:sz w:val="18"/>
      <w:szCs w:val="18"/>
    </w:rPr>
  </w:style>
  <w:style w:type="character" w:customStyle="1" w:styleId="28">
    <w:name w:val="标题 1 Char"/>
    <w:basedOn w:val="20"/>
    <w:link w:val="2"/>
    <w:qFormat/>
    <w:uiPriority w:val="9"/>
    <w:rPr>
      <w:rFonts w:ascii="楷体_GB2312" w:hAnsi="Times New Roman" w:eastAsia="楷体_GB2312" w:cs="Times New Roman"/>
      <w:kern w:val="2"/>
      <w:sz w:val="28"/>
      <w:szCs w:val="28"/>
    </w:rPr>
  </w:style>
  <w:style w:type="paragraph" w:customStyle="1" w:styleId="29">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30">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31">
    <w:name w:val="标题 3 Char"/>
    <w:basedOn w:val="20"/>
    <w:link w:val="4"/>
    <w:qFormat/>
    <w:uiPriority w:val="0"/>
    <w:rPr>
      <w:rFonts w:ascii="Times New Roman" w:hAnsi="Times New Roman" w:eastAsia="宋体" w:cs="Times New Roman"/>
      <w:b/>
      <w:bCs/>
      <w:kern w:val="2"/>
      <w:sz w:val="32"/>
      <w:szCs w:val="32"/>
    </w:rPr>
  </w:style>
  <w:style w:type="character" w:customStyle="1" w:styleId="32">
    <w:name w:val="标题 4 Char"/>
    <w:basedOn w:val="20"/>
    <w:link w:val="6"/>
    <w:qFormat/>
    <w:uiPriority w:val="9"/>
    <w:rPr>
      <w:rFonts w:ascii="Arial" w:hAnsi="Arial" w:eastAsia="黑体" w:cs="Arial"/>
      <w:b/>
      <w:bCs/>
      <w:kern w:val="2"/>
      <w:sz w:val="28"/>
      <w:szCs w:val="28"/>
    </w:rPr>
  </w:style>
  <w:style w:type="character" w:customStyle="1" w:styleId="33">
    <w:name w:val="标题 Char1"/>
    <w:basedOn w:val="20"/>
    <w:link w:val="17"/>
    <w:qFormat/>
    <w:uiPriority w:val="0"/>
    <w:rPr>
      <w:rFonts w:ascii="Cambria" w:hAnsi="Cambria"/>
      <w:b/>
      <w:bCs/>
      <w:kern w:val="2"/>
      <w:sz w:val="32"/>
      <w:szCs w:val="32"/>
    </w:rPr>
  </w:style>
  <w:style w:type="character" w:customStyle="1" w:styleId="34">
    <w:name w:val="标题二 Char"/>
    <w:link w:val="35"/>
    <w:qFormat/>
    <w:uiPriority w:val="0"/>
    <w:rPr>
      <w:rFonts w:ascii="宋体" w:hAnsi="宋体" w:cs="Calibri"/>
      <w:b/>
      <w:color w:val="000000"/>
      <w:kern w:val="1"/>
      <w:sz w:val="28"/>
      <w:szCs w:val="28"/>
    </w:rPr>
  </w:style>
  <w:style w:type="paragraph" w:customStyle="1" w:styleId="35">
    <w:name w:val="标题二"/>
    <w:basedOn w:val="36"/>
    <w:link w:val="34"/>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6">
    <w:name w:val="List Paragraph"/>
    <w:basedOn w:val="1"/>
    <w:qFormat/>
    <w:uiPriority w:val="34"/>
    <w:pPr>
      <w:ind w:firstLine="420" w:firstLineChars="200"/>
    </w:pPr>
  </w:style>
  <w:style w:type="character" w:customStyle="1" w:styleId="37">
    <w:name w:val="正文缩进 Char"/>
    <w:link w:val="5"/>
    <w:qFormat/>
    <w:uiPriority w:val="0"/>
    <w:rPr>
      <w:kern w:val="2"/>
      <w:sz w:val="21"/>
      <w:szCs w:val="21"/>
    </w:rPr>
  </w:style>
  <w:style w:type="character" w:customStyle="1" w:styleId="38">
    <w:name w:val="标题 Char"/>
    <w:basedOn w:val="20"/>
    <w:qFormat/>
    <w:uiPriority w:val="10"/>
    <w:rPr>
      <w:rFonts w:eastAsia="宋体" w:asciiTheme="majorHAnsi" w:hAnsiTheme="majorHAnsi" w:cstheme="majorBidi"/>
      <w:b/>
      <w:bCs/>
      <w:sz w:val="32"/>
      <w:szCs w:val="32"/>
    </w:rPr>
  </w:style>
  <w:style w:type="character" w:customStyle="1" w:styleId="39">
    <w:name w:val="font1"/>
    <w:qFormat/>
    <w:uiPriority w:val="0"/>
    <w:rPr>
      <w:color w:val="333333"/>
      <w:spacing w:val="450"/>
      <w:sz w:val="18"/>
      <w:szCs w:val="18"/>
      <w:u w:val="none"/>
    </w:rPr>
  </w:style>
  <w:style w:type="character" w:customStyle="1" w:styleId="40">
    <w:name w:val="纯文本 Char"/>
    <w:link w:val="10"/>
    <w:qFormat/>
    <w:uiPriority w:val="0"/>
    <w:rPr>
      <w:rFonts w:ascii="宋体" w:hAnsi="Courier New" w:cs="Courier New"/>
      <w:kern w:val="2"/>
      <w:sz w:val="21"/>
      <w:szCs w:val="21"/>
    </w:rPr>
  </w:style>
  <w:style w:type="character" w:customStyle="1" w:styleId="41">
    <w:name w:val="纯文本 Char1"/>
    <w:basedOn w:val="20"/>
    <w:semiHidden/>
    <w:qFormat/>
    <w:uiPriority w:val="99"/>
    <w:rPr>
      <w:rFonts w:ascii="宋体" w:hAnsi="Courier New" w:eastAsia="宋体" w:cs="Courier New"/>
      <w:sz w:val="21"/>
      <w:szCs w:val="21"/>
    </w:rPr>
  </w:style>
  <w:style w:type="character" w:customStyle="1" w:styleId="42">
    <w:name w:val="标题 2 Char"/>
    <w:basedOn w:val="20"/>
    <w:link w:val="3"/>
    <w:semiHidden/>
    <w:qFormat/>
    <w:uiPriority w:val="9"/>
    <w:rPr>
      <w:rFonts w:asciiTheme="majorHAnsi" w:hAnsiTheme="majorHAnsi" w:eastAsiaTheme="majorEastAsia" w:cstheme="majorBidi"/>
      <w:b/>
      <w:bCs/>
      <w:sz w:val="32"/>
      <w:szCs w:val="32"/>
    </w:rPr>
  </w:style>
  <w:style w:type="character" w:customStyle="1" w:styleId="43">
    <w:name w:val="正文文本 Char"/>
    <w:link w:val="8"/>
    <w:qFormat/>
    <w:uiPriority w:val="0"/>
    <w:rPr>
      <w:rFonts w:ascii="楷体_GB2312" w:hAnsi="Arial" w:eastAsia="楷体_GB2312"/>
      <w:kern w:val="2"/>
      <w:sz w:val="28"/>
      <w:szCs w:val="28"/>
    </w:rPr>
  </w:style>
  <w:style w:type="character" w:customStyle="1" w:styleId="44">
    <w:name w:val="列出段落 Char"/>
    <w:link w:val="45"/>
    <w:qFormat/>
    <w:locked/>
    <w:uiPriority w:val="34"/>
    <w:rPr>
      <w:rFonts w:ascii="Calibri" w:hAnsi="Calibri"/>
      <w:sz w:val="24"/>
      <w:szCs w:val="24"/>
      <w:lang w:eastAsia="en-US" w:bidi="en-US"/>
    </w:rPr>
  </w:style>
  <w:style w:type="paragraph" w:customStyle="1" w:styleId="45">
    <w:name w:val="列出段落11"/>
    <w:basedOn w:val="1"/>
    <w:link w:val="44"/>
    <w:qFormat/>
    <w:uiPriority w:val="34"/>
    <w:pPr>
      <w:adjustRightInd/>
      <w:snapToGrid/>
      <w:spacing w:after="0"/>
      <w:ind w:left="720"/>
      <w:contextualSpacing/>
    </w:pPr>
    <w:rPr>
      <w:rFonts w:ascii="Calibri" w:hAnsi="Calibri"/>
      <w:sz w:val="24"/>
      <w:szCs w:val="24"/>
      <w:lang w:eastAsia="en-US" w:bidi="en-US"/>
    </w:rPr>
  </w:style>
  <w:style w:type="paragraph" w:customStyle="1" w:styleId="46">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7">
    <w:name w:val="正文文本 Char1"/>
    <w:basedOn w:val="20"/>
    <w:semiHidden/>
    <w:qFormat/>
    <w:uiPriority w:val="99"/>
    <w:rPr>
      <w:rFonts w:ascii="Tahoma" w:hAnsi="Tahoma"/>
    </w:rPr>
  </w:style>
  <w:style w:type="character" w:customStyle="1" w:styleId="48">
    <w:name w:val="批注框文本 Char"/>
    <w:basedOn w:val="20"/>
    <w:link w:val="11"/>
    <w:semiHidden/>
    <w:qFormat/>
    <w:uiPriority w:val="99"/>
    <w:rPr>
      <w:rFonts w:ascii="Tahoma" w:hAnsi="Tahoma"/>
      <w:sz w:val="18"/>
      <w:szCs w:val="18"/>
    </w:rPr>
  </w:style>
  <w:style w:type="character" w:customStyle="1" w:styleId="49">
    <w:name w:val="批注文字 Char"/>
    <w:basedOn w:val="20"/>
    <w:link w:val="7"/>
    <w:semiHidden/>
    <w:qFormat/>
    <w:uiPriority w:val="99"/>
    <w:rPr>
      <w:rFonts w:ascii="Tahoma" w:hAnsi="Tahoma"/>
    </w:rPr>
  </w:style>
  <w:style w:type="character" w:customStyle="1" w:styleId="50">
    <w:name w:val="批注主题 Char"/>
    <w:basedOn w:val="49"/>
    <w:link w:val="18"/>
    <w:semiHidden/>
    <w:qFormat/>
    <w:uiPriority w:val="99"/>
    <w:rPr>
      <w:rFonts w:ascii="Tahoma" w:hAnsi="Tahoma"/>
      <w:b/>
      <w:bCs/>
    </w:rPr>
  </w:style>
  <w:style w:type="paragraph" w:customStyle="1" w:styleId="51">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 w:type="character" w:customStyle="1" w:styleId="52">
    <w:name w:val="watchpipe"/>
    <w:basedOn w:val="20"/>
    <w:qFormat/>
    <w:uiPriority w:val="0"/>
    <w:rPr>
      <w:color w:val="CCCCCC"/>
    </w:rPr>
  </w:style>
  <w:style w:type="character" w:customStyle="1" w:styleId="53">
    <w:name w:val="before"/>
    <w:basedOn w:val="20"/>
    <w:qFormat/>
    <w:uiPriority w:val="0"/>
  </w:style>
  <w:style w:type="character" w:customStyle="1" w:styleId="54">
    <w:name w:val="clnw-icon"/>
    <w:basedOn w:val="20"/>
    <w:qFormat/>
    <w:uiPriority w:val="0"/>
  </w:style>
  <w:style w:type="character" w:customStyle="1" w:styleId="55">
    <w:name w:val="clnw-icon1"/>
    <w:basedOn w:val="20"/>
    <w:qFormat/>
    <w:uiPriority w:val="0"/>
  </w:style>
  <w:style w:type="character" w:customStyle="1" w:styleId="56">
    <w:name w:val="gspr"/>
    <w:basedOn w:val="20"/>
    <w:qFormat/>
    <w:uiPriority w:val="0"/>
    <w:rPr>
      <w:sz w:val="14"/>
      <w:szCs w:val="14"/>
    </w:rPr>
  </w:style>
  <w:style w:type="character" w:customStyle="1" w:styleId="57">
    <w:name w:val="gspr1"/>
    <w:basedOn w:val="20"/>
    <w:qFormat/>
    <w:uiPriority w:val="0"/>
  </w:style>
  <w:style w:type="character" w:customStyle="1" w:styleId="58">
    <w:name w:val="gspr2"/>
    <w:basedOn w:val="20"/>
    <w:qFormat/>
    <w:uiPriority w:val="0"/>
  </w:style>
  <w:style w:type="character" w:customStyle="1" w:styleId="59">
    <w:name w:val="gspr3"/>
    <w:basedOn w:val="20"/>
    <w:qFormat/>
    <w:uiPriority w:val="0"/>
  </w:style>
  <w:style w:type="character" w:customStyle="1" w:styleId="60">
    <w:name w:val="gspr4"/>
    <w:basedOn w:val="20"/>
    <w:qFormat/>
    <w:uiPriority w:val="0"/>
    <w:rPr>
      <w:b/>
      <w:sz w:val="15"/>
      <w:szCs w:val="15"/>
    </w:rPr>
  </w:style>
  <w:style w:type="character" w:customStyle="1" w:styleId="61">
    <w:name w:val="gspr5"/>
    <w:basedOn w:val="20"/>
    <w:qFormat/>
    <w:uiPriority w:val="0"/>
  </w:style>
  <w:style w:type="character" w:customStyle="1" w:styleId="62">
    <w:name w:val="gspr6"/>
    <w:basedOn w:val="20"/>
    <w:qFormat/>
    <w:uiPriority w:val="0"/>
  </w:style>
  <w:style w:type="character" w:customStyle="1" w:styleId="63">
    <w:name w:val="gspr7"/>
    <w:basedOn w:val="20"/>
    <w:qFormat/>
    <w:uiPriority w:val="0"/>
  </w:style>
  <w:style w:type="character" w:customStyle="1" w:styleId="64">
    <w:name w:val="gspr8"/>
    <w:basedOn w:val="20"/>
    <w:qFormat/>
    <w:uiPriority w:val="0"/>
  </w:style>
  <w:style w:type="character" w:customStyle="1" w:styleId="65">
    <w:name w:val="vi-erc-abf-txt"/>
    <w:basedOn w:val="20"/>
    <w:qFormat/>
    <w:uiPriority w:val="0"/>
    <w:rPr>
      <w:color w:val="000000"/>
    </w:rPr>
  </w:style>
  <w:style w:type="character" w:customStyle="1" w:styleId="66">
    <w:name w:val="vi-bkto-arrnewred"/>
    <w:basedOn w:val="20"/>
    <w:qFormat/>
    <w:uiPriority w:val="0"/>
  </w:style>
  <w:style w:type="character" w:customStyle="1" w:styleId="67">
    <w:name w:val="ap-watchcount"/>
    <w:basedOn w:val="20"/>
    <w:qFormat/>
    <w:uiPriority w:val="0"/>
    <w:rPr>
      <w:color w:val="333333"/>
    </w:rPr>
  </w:style>
  <w:style w:type="character" w:customStyle="1" w:styleId="68">
    <w:name w:val="ap-watchcount1"/>
    <w:basedOn w:val="20"/>
    <w:qFormat/>
    <w:uiPriority w:val="0"/>
    <w:rPr>
      <w:color w:val="333333"/>
    </w:rPr>
  </w:style>
  <w:style w:type="character" w:customStyle="1" w:styleId="69">
    <w:name w:val="vi-qtys-hot"/>
    <w:basedOn w:val="20"/>
    <w:qFormat/>
    <w:uiPriority w:val="0"/>
    <w:rPr>
      <w:color w:val="000000"/>
    </w:rPr>
  </w:style>
  <w:style w:type="character" w:customStyle="1" w:styleId="70">
    <w:name w:val="vi-qtys-hot1"/>
    <w:basedOn w:val="20"/>
    <w:qFormat/>
    <w:uiPriority w:val="0"/>
    <w:rPr>
      <w:color w:val="000000"/>
    </w:rPr>
  </w:style>
  <w:style w:type="character" w:customStyle="1" w:styleId="71">
    <w:name w:val="vi-cvip-prel3"/>
    <w:basedOn w:val="20"/>
    <w:qFormat/>
    <w:uiPriority w:val="0"/>
  </w:style>
  <w:style w:type="character" w:customStyle="1" w:styleId="72">
    <w:name w:val="sh-svc4"/>
    <w:basedOn w:val="20"/>
    <w:qFormat/>
    <w:uiPriority w:val="0"/>
    <w:rPr>
      <w:vanish/>
    </w:rPr>
  </w:style>
  <w:style w:type="character" w:customStyle="1" w:styleId="73">
    <w:name w:val="tmlf4"/>
    <w:basedOn w:val="20"/>
    <w:qFormat/>
    <w:uiPriority w:val="0"/>
    <w:rPr>
      <w:rFonts w:ascii="Verdana" w:hAnsi="Verdana" w:cs="Verdana"/>
      <w:color w:val="666666"/>
      <w:sz w:val="10"/>
      <w:szCs w:val="10"/>
    </w:rPr>
  </w:style>
  <w:style w:type="character" w:customStyle="1" w:styleId="74">
    <w:name w:val="vi-cvip-prel5"/>
    <w:basedOn w:val="20"/>
    <w:qFormat/>
    <w:uiPriority w:val="0"/>
  </w:style>
  <w:style w:type="character" w:customStyle="1" w:styleId="75">
    <w:name w:val="vi-core-prdreviewcntr4"/>
    <w:basedOn w:val="20"/>
    <w:qFormat/>
    <w:uiPriority w:val="0"/>
    <w:rPr>
      <w:rFonts w:hint="default" w:ascii="Verdana" w:hAnsi="Verdana" w:cs="Verdana"/>
      <w:sz w:val="20"/>
      <w:szCs w:val="20"/>
    </w:rPr>
  </w:style>
  <w:style w:type="character" w:customStyle="1" w:styleId="76">
    <w:name w:val="clf"/>
    <w:basedOn w:val="20"/>
    <w:qFormat/>
    <w:uiPriority w:val="0"/>
  </w:style>
  <w:style w:type="character" w:customStyle="1" w:styleId="77">
    <w:name w:val="bids2"/>
    <w:basedOn w:val="20"/>
    <w:qFormat/>
    <w:uiPriority w:val="0"/>
    <w:rPr>
      <w:rFonts w:hint="default" w:ascii="Verdana" w:hAnsi="Verdana" w:cs="Verdana"/>
      <w:color w:val="666666"/>
      <w:sz w:val="10"/>
      <w:szCs w:val="10"/>
    </w:rPr>
  </w:style>
  <w:style w:type="character" w:customStyle="1" w:styleId="78">
    <w:name w:val="sh-bubble4"/>
    <w:basedOn w:val="20"/>
    <w:qFormat/>
    <w:uiPriority w:val="0"/>
    <w:rPr>
      <w:vanish/>
    </w:rPr>
  </w:style>
  <w:style w:type="character" w:customStyle="1" w:styleId="79">
    <w:name w:val="vi-erc-logo"/>
    <w:basedOn w:val="20"/>
    <w:qFormat/>
    <w:uiPriority w:val="0"/>
  </w:style>
  <w:style w:type="character" w:customStyle="1" w:styleId="80">
    <w:name w:val="bin2"/>
    <w:basedOn w:val="20"/>
    <w:qFormat/>
    <w:uiPriority w:val="0"/>
    <w:rPr>
      <w:rFonts w:hint="default" w:ascii="Verdana" w:hAnsi="Verdana" w:cs="Verdana"/>
      <w:color w:val="666666"/>
      <w:sz w:val="10"/>
      <w:szCs w:val="10"/>
    </w:rPr>
  </w:style>
  <w:style w:type="character" w:customStyle="1" w:styleId="81">
    <w:name w:val="rmvfavcharity"/>
    <w:basedOn w:val="20"/>
    <w:qFormat/>
    <w:uiPriority w:val="0"/>
    <w:rPr>
      <w:b/>
      <w:vanish/>
      <w:color w:val="0654BA"/>
    </w:rPr>
  </w:style>
  <w:style w:type="character" w:customStyle="1" w:styleId="82">
    <w:name w:val="ship2"/>
    <w:basedOn w:val="20"/>
    <w:qFormat/>
    <w:uiPriority w:val="0"/>
    <w:rPr>
      <w:color w:val="555555"/>
      <w:sz w:val="14"/>
      <w:szCs w:val="14"/>
    </w:rPr>
  </w:style>
  <w:style w:type="character" w:customStyle="1" w:styleId="83">
    <w:name w:val="btn42"/>
    <w:basedOn w:val="20"/>
    <w:qFormat/>
    <w:uiPriority w:val="0"/>
  </w:style>
  <w:style w:type="character" w:customStyle="1" w:styleId="84">
    <w:name w:val="btn43"/>
    <w:basedOn w:val="20"/>
    <w:qFormat/>
    <w:uiPriority w:val="0"/>
  </w:style>
  <w:style w:type="character" w:customStyle="1" w:styleId="85">
    <w:name w:val="vi-popstk-rev"/>
    <w:basedOn w:val="20"/>
    <w:qFormat/>
    <w:uiPriority w:val="0"/>
  </w:style>
  <w:style w:type="character" w:customStyle="1" w:styleId="86">
    <w:name w:val="vi-pop-drkgry3"/>
    <w:basedOn w:val="20"/>
    <w:qFormat/>
    <w:uiPriority w:val="0"/>
    <w:rPr>
      <w:color w:val="333333"/>
    </w:rPr>
  </w:style>
  <w:style w:type="character" w:customStyle="1" w:styleId="87">
    <w:name w:val="mbg-l2"/>
    <w:basedOn w:val="20"/>
    <w:qFormat/>
    <w:uiPriority w:val="0"/>
  </w:style>
  <w:style w:type="character" w:customStyle="1" w:styleId="88">
    <w:name w:val="mbg-l3"/>
    <w:basedOn w:val="20"/>
    <w:qFormat/>
    <w:uiPriority w:val="0"/>
  </w:style>
  <w:style w:type="character" w:customStyle="1" w:styleId="89">
    <w:name w:val="vi-fire-icon"/>
    <w:basedOn w:val="20"/>
    <w:qFormat/>
    <w:uiPriority w:val="0"/>
  </w:style>
  <w:style w:type="character" w:customStyle="1" w:styleId="90">
    <w:name w:val="after"/>
    <w:basedOn w:val="20"/>
    <w:qFormat/>
    <w:uiPriority w:val="0"/>
  </w:style>
  <w:style w:type="character" w:customStyle="1" w:styleId="91">
    <w:name w:val="clwn-main-txt"/>
    <w:basedOn w:val="20"/>
    <w:qFormat/>
    <w:uiPriority w:val="0"/>
  </w:style>
  <w:style w:type="character" w:customStyle="1" w:styleId="92">
    <w:name w:val="clwn-main-txt1"/>
    <w:basedOn w:val="20"/>
    <w:qFormat/>
    <w:uiPriority w:val="0"/>
    <w:rPr>
      <w:b/>
    </w:rPr>
  </w:style>
  <w:style w:type="character" w:customStyle="1" w:styleId="93">
    <w:name w:val="vi-auth-text-msg"/>
    <w:basedOn w:val="20"/>
    <w:qFormat/>
    <w:uiPriority w:val="0"/>
    <w:rPr>
      <w:sz w:val="21"/>
      <w:szCs w:val="21"/>
    </w:rPr>
  </w:style>
  <w:style w:type="character" w:customStyle="1" w:styleId="94">
    <w:name w:val="btn[outofstock]"/>
    <w:basedOn w:val="20"/>
    <w:qFormat/>
    <w:uiPriority w:val="0"/>
  </w:style>
  <w:style w:type="character" w:customStyle="1" w:styleId="95">
    <w:name w:val="expsvctext"/>
    <w:basedOn w:val="20"/>
    <w:qFormat/>
    <w:uiPriority w:val="0"/>
  </w:style>
  <w:style w:type="character" w:customStyle="1" w:styleId="96">
    <w:name w:val="pd-pp-cc-logo-wm-non-us"/>
    <w:basedOn w:val="20"/>
    <w:qFormat/>
    <w:uiPriority w:val="0"/>
    <w:rPr>
      <w:sz w:val="12"/>
      <w:szCs w:val="12"/>
    </w:rPr>
  </w:style>
  <w:style w:type="character" w:customStyle="1" w:styleId="97">
    <w:name w:val="vi-atw-icn2"/>
    <w:basedOn w:val="20"/>
    <w:qFormat/>
    <w:uiPriority w:val="0"/>
  </w:style>
  <w:style w:type="character" w:customStyle="1" w:styleId="98">
    <w:name w:val="vi-atw-icn3"/>
    <w:basedOn w:val="20"/>
    <w:qFormat/>
    <w:uiPriority w:val="0"/>
  </w:style>
  <w:style w:type="character" w:customStyle="1" w:styleId="99">
    <w:name w:val="vi-atw-icn4"/>
    <w:basedOn w:val="20"/>
    <w:qFormat/>
    <w:uiPriority w:val="0"/>
  </w:style>
  <w:style w:type="character" w:customStyle="1" w:styleId="100">
    <w:name w:val="vi-atw-icn5"/>
    <w:basedOn w:val="20"/>
    <w:qFormat/>
    <w:uiPriority w:val="0"/>
  </w:style>
  <w:style w:type="character" w:customStyle="1" w:styleId="101">
    <w:name w:val="vi-atw-icn6"/>
    <w:basedOn w:val="20"/>
    <w:qFormat/>
    <w:uiPriority w:val="0"/>
  </w:style>
  <w:style w:type="character" w:customStyle="1" w:styleId="102">
    <w:name w:val="tfsp"/>
    <w:basedOn w:val="20"/>
    <w:qFormat/>
    <w:uiPriority w:val="0"/>
    <w:rPr>
      <w:color w:val="555555"/>
      <w:sz w:val="14"/>
      <w:szCs w:val="14"/>
    </w:rPr>
  </w:style>
  <w:style w:type="character" w:customStyle="1" w:styleId="103">
    <w:name w:val="cl-lcat-cnt"/>
    <w:basedOn w:val="20"/>
    <w:qFormat/>
    <w:uiPriority w:val="0"/>
    <w:rPr>
      <w:color w:val="666666"/>
    </w:rPr>
  </w:style>
  <w:style w:type="character" w:customStyle="1" w:styleId="104">
    <w:name w:val="pt-i"/>
    <w:basedOn w:val="20"/>
    <w:qFormat/>
    <w:uiPriority w:val="0"/>
    <w:rPr>
      <w:color w:val="727272"/>
      <w:u w:val="none"/>
    </w:rPr>
  </w:style>
  <w:style w:type="character" w:customStyle="1" w:styleId="105">
    <w:name w:val="review-item-condition"/>
    <w:basedOn w:val="20"/>
    <w:uiPriority w:val="0"/>
    <w:rPr>
      <w:color w:val="555555"/>
    </w:rPr>
  </w:style>
  <w:style w:type="character" w:customStyle="1" w:styleId="106">
    <w:name w:val="hover29"/>
    <w:basedOn w:val="20"/>
    <w:qFormat/>
    <w:uiPriority w:val="0"/>
    <w:rPr>
      <w:u w:val="single"/>
    </w:rPr>
  </w:style>
  <w:style w:type="character" w:customStyle="1" w:styleId="107">
    <w:name w:val="lhdr-tick-icon2"/>
    <w:basedOn w:val="20"/>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6E4CCC-18AF-4CFF-A50E-C7DF87003306}">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43</Pages>
  <Words>2912</Words>
  <Characters>16603</Characters>
  <Lines>138</Lines>
  <Paragraphs>38</Paragraphs>
  <TotalTime>15</TotalTime>
  <ScaleCrop>false</ScaleCrop>
  <LinksUpToDate>false</LinksUpToDate>
  <CharactersWithSpaces>19477</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2019-03-19T02:37:00Z</dcterms:created>
  <dc:creator>chenle</dc:creator>
  <cp:lastModifiedBy>lenovo</cp:lastModifiedBy>
  <dcterms:modified xsi:type="dcterms:W3CDTF">2019-09-09T07:23:23Z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