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学生公寓SIMS智能水电双控系统维保</w:t>
      </w:r>
      <w:r>
        <w:rPr>
          <w:rFonts w:hint="eastAsia" w:asciiTheme="minorEastAsia" w:hAnsiTheme="minorEastAsia" w:eastAsiaTheme="minorEastAsia"/>
          <w:b/>
          <w:bCs/>
          <w:sz w:val="32"/>
          <w:szCs w:val="32"/>
        </w:rPr>
        <w:t>项目</w:t>
      </w:r>
    </w:p>
    <w:p>
      <w:pPr>
        <w:pStyle w:val="26"/>
        <w:ind w:firstLine="643" w:firstLineChars="200"/>
        <w:jc w:val="center"/>
        <w:rPr>
          <w:rFonts w:hint="eastAsia" w:eastAsia="宋体"/>
          <w:b/>
          <w:bCs/>
          <w:sz w:val="32"/>
          <w:lang w:val="en-US"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1129p-4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523127445"/>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val="en-US" w:eastAsia="zh-CN"/>
        </w:rPr>
      </w:pPr>
      <w:r>
        <w:rPr>
          <w:rFonts w:asciiTheme="minorEastAsia" w:hAnsiTheme="minorEastAsia" w:eastAsiaTheme="minorEastAsia"/>
          <w:b/>
          <w:sz w:val="40"/>
          <w:szCs w:val="28"/>
        </w:rPr>
        <w:fldChar w:fldCharType="end"/>
      </w:r>
      <w:r>
        <w:rPr>
          <w:rFonts w:hint="eastAsia"/>
          <w:sz w:val="24"/>
          <w:szCs w:val="24"/>
        </w:rPr>
        <w:t>第六章拟签订的合同文本</w:t>
      </w:r>
      <w:r>
        <w:tab/>
      </w:r>
      <w:r>
        <w:rPr>
          <w:rFonts w:hint="eastAsia"/>
          <w:sz w:val="24"/>
          <w:lang w:val="en-US" w:eastAsia="zh-CN"/>
        </w:rPr>
        <w:t>28</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OLE_LINK2"/>
      <w:bookmarkStart w:id="9" w:name="_Toc479757207"/>
      <w:bookmarkStart w:id="10" w:name="_Toc20823314"/>
      <w:bookmarkStart w:id="11" w:name="OLE_LINK1"/>
      <w:bookmarkStart w:id="12" w:name="_Toc444669970"/>
      <w:bookmarkStart w:id="13" w:name="_Toc120614221"/>
      <w:bookmarkStart w:id="14" w:name="_Toc16938558"/>
      <w:bookmarkStart w:id="15" w:name="_Toc513029242"/>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学生公寓SIMS智能水电双控系统维保</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（一）采购项目名称：学生公寓SIMS智能水电双控系统维保项目</w:t>
      </w:r>
    </w:p>
    <w:p>
      <w:pPr>
        <w:spacing w:before="120" w:beforeLines="50" w:after="120" w:afterLines="50" w:line="500" w:lineRule="exact"/>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njmu-201811</w:t>
      </w:r>
      <w:r>
        <w:rPr>
          <w:rFonts w:hint="eastAsia" w:asciiTheme="minorEastAsia" w:hAnsiTheme="minorEastAsia" w:eastAsiaTheme="minorEastAsia"/>
          <w:sz w:val="28"/>
          <w:szCs w:val="28"/>
          <w:highlight w:val="none"/>
          <w:lang w:val="en-US" w:eastAsia="zh-CN"/>
        </w:rPr>
        <w:t>29p-4</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highlight w:val="none"/>
        </w:rPr>
        <w:t>:9.</w:t>
      </w:r>
      <w:r>
        <w:rPr>
          <w:rFonts w:hint="eastAsia" w:asciiTheme="minorEastAsia" w:hAnsiTheme="minorEastAsia" w:eastAsiaTheme="minorEastAsia"/>
          <w:sz w:val="28"/>
          <w:szCs w:val="28"/>
          <w:highlight w:val="none"/>
          <w:lang w:val="en-US" w:eastAsia="zh-CN"/>
        </w:rPr>
        <w:t>8</w:t>
      </w:r>
      <w:r>
        <w:rPr>
          <w:rFonts w:hint="eastAsia" w:asciiTheme="minorEastAsia" w:hAnsiTheme="minorEastAsia" w:eastAsiaTheme="minorEastAsia"/>
          <w:sz w:val="28"/>
          <w:szCs w:val="28"/>
          <w:highlight w:val="none"/>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480" w:lineRule="exact"/>
        <w:ind w:firstLine="280" w:firstLineChars="100"/>
        <w:rPr>
          <w:rFonts w:asciiTheme="minorEastAsia" w:hAnsiTheme="minorEastAsia" w:eastAsiaTheme="minorEastAsia"/>
          <w:sz w:val="24"/>
          <w:szCs w:val="24"/>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投标文件接收开始时间：2018年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日下午13:30</w:t>
      </w:r>
      <w:r>
        <w:rPr>
          <w:rFonts w:hint="eastAsia" w:asciiTheme="minorEastAsia" w:hAnsiTheme="minorEastAsia" w:eastAsiaTheme="minorEastAsia"/>
          <w:color w:val="auto"/>
          <w:sz w:val="24"/>
          <w:szCs w:val="24"/>
        </w:rPr>
        <w:t>（</w:t>
      </w:r>
      <w:r>
        <w:rPr>
          <w:rFonts w:hint="eastAsia" w:asciiTheme="minorEastAsia" w:hAnsiTheme="minorEastAsia" w:eastAsiaTheme="minorEastAsia"/>
          <w:sz w:val="24"/>
          <w:szCs w:val="24"/>
        </w:rPr>
        <w:t>北京时间）</w:t>
      </w:r>
    </w:p>
    <w:p>
      <w:pPr>
        <w:spacing w:before="120" w:beforeLines="50" w:after="120" w:afterLines="50"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投标文件接收截止时间：2018年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日下午14:00前（北京时间）</w:t>
      </w:r>
    </w:p>
    <w:p>
      <w:pPr>
        <w:spacing w:line="480" w:lineRule="exact"/>
        <w:ind w:firstLine="1200" w:firstLineChars="50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4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480" w:lineRule="exact"/>
        <w:ind w:firstLine="560" w:firstLineChars="200"/>
        <w:rPr>
          <w:rFonts w:hint="eastAsia"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开标时间：2018年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29</w:t>
      </w:r>
      <w:r>
        <w:rPr>
          <w:rFonts w:hint="eastAsia" w:asciiTheme="minorEastAsia" w:hAnsiTheme="minorEastAsia" w:eastAsiaTheme="minorEastAsia"/>
          <w:sz w:val="24"/>
          <w:szCs w:val="24"/>
        </w:rPr>
        <w:t>日下午14:00（北京时间）</w:t>
      </w:r>
    </w:p>
    <w:p>
      <w:pPr>
        <w:spacing w:line="480" w:lineRule="exact"/>
        <w:ind w:firstLine="1440" w:firstLineChars="60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hint="eastAsia"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汪</w:t>
      </w:r>
      <w:r>
        <w:rPr>
          <w:rFonts w:hint="eastAsia" w:asciiTheme="minorEastAsia" w:hAnsiTheme="minorEastAsia" w:eastAsiaTheme="minorEastAsia"/>
          <w:sz w:val="24"/>
          <w:szCs w:val="24"/>
        </w:rPr>
        <w:t>老师</w:t>
      </w:r>
      <w:r>
        <w:rPr>
          <w:rFonts w:hint="eastAsia" w:asciiTheme="minorEastAsia" w:hAnsiTheme="minorEastAsia" w:eastAsiaTheme="minorEastAsia"/>
          <w:sz w:val="24"/>
          <w:szCs w:val="24"/>
          <w:lang w:val="en-US" w:eastAsia="zh-CN"/>
        </w:rPr>
        <w:t xml:space="preserve">    </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电话：025-86868135</w:t>
      </w:r>
      <w:bookmarkStart w:id="180" w:name="_GoBack"/>
      <w:bookmarkEnd w:id="180"/>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20614218"/>
      <w:bookmarkStart w:id="124" w:name="_Toc517190886"/>
      <w:bookmarkStart w:id="125" w:name="_Toc20823301"/>
      <w:bookmarkStart w:id="126" w:name="_Toc513029229"/>
      <w:bookmarkStart w:id="127" w:name="_Toc16938545"/>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spacing w:line="360" w:lineRule="auto"/>
        <w:ind w:firstLine="560" w:firstLineChars="200"/>
        <w:rPr>
          <w:rFonts w:hint="eastAsia" w:asciiTheme="minorEastAsia" w:hAnsiTheme="minorEastAsia" w:eastAsiaTheme="minorEastAsia" w:cstheme="minorEastAsia"/>
          <w:sz w:val="28"/>
          <w:szCs w:val="28"/>
        </w:rPr>
      </w:pPr>
      <w:bookmarkStart w:id="165" w:name="_Toc523931348"/>
      <w:bookmarkStart w:id="166" w:name="_Toc401414769"/>
      <w:r>
        <w:rPr>
          <w:rFonts w:hint="eastAsia" w:asciiTheme="minorEastAsia" w:hAnsiTheme="minorEastAsia" w:eastAsiaTheme="minorEastAsia" w:cstheme="minorEastAsia"/>
          <w:sz w:val="28"/>
          <w:szCs w:val="28"/>
        </w:rPr>
        <w:t>（1）维保时间：一年。</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（2）维保范围：</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南京医科大学五台校区研究生公寓148路用电单元、148路用水单元，6号楼、西苑280路用电单元；</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南京医科大学江宁校区1-9栋学生公寓1382路用电单元、1382路用水单元及江宁研究生公寓1-3栋450路用电单元。</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SIMS智能水电双控系统，包括数据网关2台，9台数据管理器，1382个计量模块，142个中位机，878个计量电表，972只一体式远程水表（20口径），558只分体式远程水表（25口径）及采集器，24台水控集中器，24台网络转换器等。</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（3）维保要求：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投标人须确保SIMS水电双控计量系统正常运行，计量系统精确，各项控制管理功能正常运行。</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当出现运行故障后，中标方应派维修人员在8小时内到达现场，排除故障。一般故障在一个工作日内解决，每月走访检修不少于一次，每半年对系统进行一次彻底检修。维修提供的配件及软件系统为原厂配件。每次维保结束及故障处理服务结束后，投标方应有服务内容登记，并经使用方管理人员签字方可确认。</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系统软件免费升级（同一版本），并负责对甲方相关人员进行必要的培训。</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维保技术要求：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（1）硬件技术方面要求：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熟悉SIMS智能水电双控系统的各个硬件组成部分及工作原理；熟悉SIMS智能水电双控电线路的走向；熟悉学生公寓的电路分布及计量模块的分配工作；精通SIMS控电的故障现象以及如何尽快去解决问题；零配件损坏及时更换。</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（2）软件方面要求：</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精通计算机软件操作；了解SQL数据库；精通SIMS智能水电双控系统软件的组成部分及安装；精通SIMS智能水电双控系统软件的操作；SIMS智能水电双控系统软件出现问题能够及时解决。</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系统软件必须免费升级，并由中标方负责对招标方设备操作人员进行必要的现场技术培训等。</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中标方保养、急修或年检完毕后，将保养单交招标方管理部门签字认可，然后交到后勤处。保养任务的完成与否，以保养单为主。 </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中标方须自行配备工作所需要的工具及设备，须免费提供维修所需的材料及需要更换的零配件。</w:t>
      </w:r>
    </w:p>
    <w:p>
      <w:pPr>
        <w:pStyle w:val="2"/>
        <w:keepNext w:val="0"/>
        <w:keepLines/>
        <w:spacing w:line="360" w:lineRule="auto"/>
        <w:jc w:val="left"/>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Pr>
        <w:pStyle w:val="2"/>
        <w:keepNext w:val="0"/>
        <w:keepLines/>
        <w:spacing w:line="360" w:lineRule="auto"/>
        <w:ind w:firstLine="1325" w:firstLineChars="300"/>
        <w:jc w:val="both"/>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p>
      <w:pPr>
        <w:spacing w:before="120" w:beforeLines="50"/>
        <w:ind w:firstLine="600" w:firstLineChars="250"/>
        <w:rPr>
          <w:rFonts w:ascii="宋体" w:hAnsi="宋体" w:cs="Times New Roman"/>
          <w:sz w:val="24"/>
        </w:rPr>
      </w:pPr>
      <w:r>
        <w:rPr>
          <w:rFonts w:hint="eastAsia" w:ascii="宋体" w:hAnsi="宋体" w:cs="Times New Roman"/>
          <w:sz w:val="24"/>
        </w:rPr>
        <w:t>1、投标报价（40分）：</w:t>
      </w:r>
      <w:r>
        <w:rPr>
          <w:rFonts w:hint="eastAsia" w:ascii="宋体" w:hAnsi="宋体" w:cs="Arial"/>
          <w:bCs/>
          <w:color w:val="000000"/>
          <w:sz w:val="24"/>
        </w:rPr>
        <w:t>即满足招标文件要求且投标价格最低的投标报价为评标基准价，其价格分为满分。其他投标人的价格分统一按照下列公式计算</w:t>
      </w:r>
      <w:r>
        <w:rPr>
          <w:rFonts w:ascii="宋体" w:hAnsi="宋体" w:cs="Arial"/>
          <w:bCs/>
          <w:color w:val="000000"/>
          <w:sz w:val="24"/>
        </w:rPr>
        <w:t>:</w:t>
      </w:r>
      <w:r>
        <w:rPr>
          <w:rFonts w:hint="eastAsia" w:ascii="宋体" w:hAnsi="宋体" w:cs="Arial"/>
          <w:bCs/>
          <w:color w:val="000000"/>
          <w:sz w:val="24"/>
        </w:rPr>
        <w:t>投标报价得分</w:t>
      </w:r>
      <w:r>
        <w:rPr>
          <w:rFonts w:ascii="宋体" w:hAnsi="宋体" w:cs="Arial"/>
          <w:bCs/>
          <w:color w:val="000000"/>
          <w:sz w:val="24"/>
        </w:rPr>
        <w:t>=(</w:t>
      </w:r>
      <w:r>
        <w:rPr>
          <w:rFonts w:hint="eastAsia" w:ascii="宋体" w:hAnsi="宋体" w:cs="Arial"/>
          <w:bCs/>
          <w:color w:val="000000"/>
          <w:sz w:val="24"/>
        </w:rPr>
        <w:t>评标基准价</w:t>
      </w:r>
      <w:r>
        <w:rPr>
          <w:rFonts w:ascii="宋体" w:hAnsi="宋体" w:cs="Arial"/>
          <w:bCs/>
          <w:color w:val="000000"/>
          <w:sz w:val="24"/>
        </w:rPr>
        <w:t>/</w:t>
      </w:r>
      <w:r>
        <w:rPr>
          <w:rFonts w:hint="eastAsia" w:ascii="宋体" w:hAnsi="宋体" w:cs="Arial"/>
          <w:bCs/>
          <w:color w:val="000000"/>
          <w:sz w:val="24"/>
        </w:rPr>
        <w:t>投标报价</w:t>
      </w:r>
      <w:r>
        <w:rPr>
          <w:rFonts w:ascii="宋体" w:hAnsi="宋体" w:cs="Arial"/>
          <w:bCs/>
          <w:color w:val="000000"/>
          <w:sz w:val="24"/>
        </w:rPr>
        <w:t>)</w:t>
      </w:r>
      <w:r>
        <w:rPr>
          <w:rFonts w:hint="eastAsia" w:ascii="宋体" w:hAnsi="宋体" w:cs="Arial"/>
          <w:bCs/>
          <w:color w:val="000000"/>
          <w:sz w:val="24"/>
        </w:rPr>
        <w:t>×40</w:t>
      </w:r>
      <w:r>
        <w:rPr>
          <w:rFonts w:hint="eastAsia" w:ascii="宋体" w:hAnsi="宋体" w:cs="Times New Roman"/>
          <w:bCs/>
          <w:color w:val="000000"/>
          <w:sz w:val="24"/>
        </w:rPr>
        <w:t>（小数点保留两位）。</w:t>
      </w:r>
    </w:p>
    <w:p>
      <w:pPr>
        <w:spacing w:before="120" w:beforeLines="50"/>
        <w:ind w:firstLine="465"/>
        <w:rPr>
          <w:rFonts w:ascii="宋体" w:hAnsi="宋体" w:cs="宋体"/>
          <w:bCs/>
          <w:color w:val="000000"/>
          <w:sz w:val="24"/>
        </w:rPr>
      </w:pPr>
      <w:r>
        <w:rPr>
          <w:rFonts w:hint="eastAsia" w:ascii="宋体" w:hAnsi="宋体" w:cs="Times New Roman"/>
          <w:sz w:val="24"/>
        </w:rPr>
        <w:t>2、技术服务（15分）：技术服务对招标文件具体要求的技术能力及响应速度的要求，对服务质量、服务范围、服务要求的承诺。</w:t>
      </w:r>
      <w:r>
        <w:rPr>
          <w:rFonts w:hint="eastAsia" w:ascii="宋体" w:hAnsi="宋体" w:cs="宋体"/>
          <w:bCs/>
          <w:color w:val="000000"/>
          <w:sz w:val="24"/>
          <w:lang w:val="zh-CN"/>
        </w:rPr>
        <w:t>有负偏离的部分，每一项扣</w:t>
      </w:r>
      <w:r>
        <w:rPr>
          <w:rFonts w:hint="eastAsia" w:ascii="宋体" w:hAnsi="宋体" w:cs="宋体"/>
          <w:bCs/>
          <w:color w:val="000000"/>
          <w:sz w:val="24"/>
        </w:rPr>
        <w:t>5</w:t>
      </w:r>
      <w:r>
        <w:rPr>
          <w:rFonts w:hint="eastAsia" w:ascii="宋体" w:hAnsi="宋体" w:cs="宋体"/>
          <w:bCs/>
          <w:color w:val="000000"/>
          <w:sz w:val="24"/>
          <w:lang w:val="zh-CN"/>
        </w:rPr>
        <w:t>分，扣完为止</w:t>
      </w:r>
      <w:r>
        <w:rPr>
          <w:rFonts w:hint="eastAsia" w:ascii="宋体" w:hAnsi="宋体" w:cs="宋体"/>
          <w:bCs/>
          <w:color w:val="000000"/>
          <w:sz w:val="24"/>
        </w:rPr>
        <w:t>。</w:t>
      </w:r>
    </w:p>
    <w:p>
      <w:pPr>
        <w:spacing w:before="120" w:beforeLines="50"/>
        <w:ind w:firstLine="465"/>
        <w:rPr>
          <w:rFonts w:ascii="宋体" w:hAnsi="宋体" w:cs="Times New Roman"/>
          <w:sz w:val="24"/>
        </w:rPr>
      </w:pPr>
      <w:r>
        <w:rPr>
          <w:rFonts w:hint="eastAsia" w:ascii="宋体" w:hAnsi="宋体" w:cs="宋体"/>
          <w:bCs/>
          <w:color w:val="000000"/>
          <w:sz w:val="24"/>
        </w:rPr>
        <w:t>3、</w:t>
      </w:r>
      <w:r>
        <w:rPr>
          <w:rFonts w:hint="eastAsia" w:ascii="宋体" w:hAnsi="宋体" w:cs="宋体"/>
          <w:bCs/>
          <w:sz w:val="24"/>
        </w:rPr>
        <w:t>维保方案（20分）：提供维保方案，方案详细、具体、操作性强，满分20分。维保方案最优者得15-20分，维保方案较好者得10-14分，维保方案一般者得5-9分，维保方案不佳者4分及以下。</w:t>
      </w:r>
    </w:p>
    <w:p>
      <w:pPr>
        <w:spacing w:before="120" w:beforeLines="50"/>
        <w:ind w:firstLine="480" w:firstLineChars="200"/>
        <w:rPr>
          <w:rFonts w:ascii="宋体" w:hAnsi="宋体" w:cs="Times New Roman"/>
          <w:sz w:val="24"/>
        </w:rPr>
      </w:pPr>
      <w:r>
        <w:rPr>
          <w:rFonts w:hint="eastAsia" w:ascii="宋体" w:hAnsi="宋体" w:cs="Times New Roman"/>
          <w:sz w:val="24"/>
        </w:rPr>
        <w:t>4、相关业绩合同（15分）；</w:t>
      </w:r>
      <w:r>
        <w:rPr>
          <w:rFonts w:hint="eastAsia" w:ascii="宋体" w:hAnsi="宋体" w:cs="Arial"/>
          <w:bCs/>
          <w:color w:val="000000"/>
          <w:sz w:val="24"/>
        </w:rPr>
        <w:t>投标人在2016年1月1日至今具有与该项目类似的成功应用案例且单个合同总价不低于该项目总额的(提供合同复印件并加盖公章，原件备查)。有1个得5分，最多得15分。</w:t>
      </w:r>
    </w:p>
    <w:p>
      <w:pPr>
        <w:spacing w:before="120" w:beforeLines="50"/>
        <w:ind w:firstLine="480" w:firstLineChars="200"/>
        <w:rPr>
          <w:rFonts w:ascii="宋体" w:hAnsi="宋体" w:cs="Times New Roman"/>
          <w:sz w:val="24"/>
        </w:rPr>
      </w:pPr>
      <w:r>
        <w:rPr>
          <w:rFonts w:hint="eastAsia" w:ascii="宋体" w:hAnsi="宋体" w:cs="Times New Roman"/>
          <w:sz w:val="24"/>
        </w:rPr>
        <w:t>5、企业经营业绩、财务情况及信誉情况（10分）。</w:t>
      </w: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Theme="minorEastAsia" w:hAnsiTheme="minorEastAsia" w:eastAsiaTheme="minorEastAsia"/>
          <w:sz w:val="28"/>
          <w:szCs w:val="24"/>
        </w:rPr>
      </w:pPr>
      <w:r>
        <w:rPr>
          <w:rFonts w:asciiTheme="minorEastAsia" w:hAnsiTheme="minorEastAsia" w:eastAsiaTheme="minorEastAsia"/>
          <w:sz w:val="28"/>
          <w:szCs w:val="24"/>
        </w:rPr>
        <w:br w:type="page"/>
      </w: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3"/>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10"/>
        <w:spacing w:before="120" w:after="120" w:line="300" w:lineRule="auto"/>
        <w:rPr>
          <w:rFonts w:asciiTheme="minorEastAsia" w:hAnsiTheme="minorEastAsia" w:eastAsiaTheme="minorEastAsia"/>
          <w:sz w:val="24"/>
          <w:szCs w:val="28"/>
        </w:rPr>
      </w:pPr>
    </w:p>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5EB36BE2"/>
    <w:multiLevelType w:val="singleLevel"/>
    <w:tmpl w:val="5EB36BE2"/>
    <w:lvl w:ilvl="0" w:tentative="0">
      <w:start w:val="1"/>
      <w:numFmt w:val="decimal"/>
      <w:suff w:val="nothing"/>
      <w:lvlText w:val="（%1）"/>
      <w:lvlJc w:val="left"/>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5E78"/>
    <w:rsid w:val="00026CA5"/>
    <w:rsid w:val="00045531"/>
    <w:rsid w:val="000458DB"/>
    <w:rsid w:val="00046D67"/>
    <w:rsid w:val="000508AB"/>
    <w:rsid w:val="00050D10"/>
    <w:rsid w:val="00053D2D"/>
    <w:rsid w:val="00053D8C"/>
    <w:rsid w:val="0005451A"/>
    <w:rsid w:val="000602F6"/>
    <w:rsid w:val="00062EBC"/>
    <w:rsid w:val="00063E5E"/>
    <w:rsid w:val="00070968"/>
    <w:rsid w:val="00075408"/>
    <w:rsid w:val="00080942"/>
    <w:rsid w:val="0008466D"/>
    <w:rsid w:val="00086A59"/>
    <w:rsid w:val="00090C36"/>
    <w:rsid w:val="0009546A"/>
    <w:rsid w:val="000A4EF6"/>
    <w:rsid w:val="000B08EC"/>
    <w:rsid w:val="000B0E83"/>
    <w:rsid w:val="000B538B"/>
    <w:rsid w:val="000C3635"/>
    <w:rsid w:val="000C6FE5"/>
    <w:rsid w:val="000C7C51"/>
    <w:rsid w:val="000D0163"/>
    <w:rsid w:val="000D58DA"/>
    <w:rsid w:val="000E2C56"/>
    <w:rsid w:val="000F0270"/>
    <w:rsid w:val="000F4CEA"/>
    <w:rsid w:val="00100D01"/>
    <w:rsid w:val="00101A8A"/>
    <w:rsid w:val="0012092A"/>
    <w:rsid w:val="001225B3"/>
    <w:rsid w:val="00124A3C"/>
    <w:rsid w:val="00125C10"/>
    <w:rsid w:val="00141840"/>
    <w:rsid w:val="00156387"/>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1F7BDA"/>
    <w:rsid w:val="0020432E"/>
    <w:rsid w:val="002070F5"/>
    <w:rsid w:val="00232127"/>
    <w:rsid w:val="002327D4"/>
    <w:rsid w:val="00244DA0"/>
    <w:rsid w:val="0025535E"/>
    <w:rsid w:val="00266C11"/>
    <w:rsid w:val="00272CB4"/>
    <w:rsid w:val="00295368"/>
    <w:rsid w:val="002A4DD3"/>
    <w:rsid w:val="002B7202"/>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548BA"/>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677CB"/>
    <w:rsid w:val="00476FD6"/>
    <w:rsid w:val="00477C2E"/>
    <w:rsid w:val="004808C6"/>
    <w:rsid w:val="0048359D"/>
    <w:rsid w:val="004A4F2D"/>
    <w:rsid w:val="004B2157"/>
    <w:rsid w:val="004E0EEC"/>
    <w:rsid w:val="004E3402"/>
    <w:rsid w:val="004F54A0"/>
    <w:rsid w:val="004F5C9E"/>
    <w:rsid w:val="004F6DEC"/>
    <w:rsid w:val="004F7103"/>
    <w:rsid w:val="005129DB"/>
    <w:rsid w:val="00523B5F"/>
    <w:rsid w:val="005253AD"/>
    <w:rsid w:val="00557F99"/>
    <w:rsid w:val="0057236C"/>
    <w:rsid w:val="0057580C"/>
    <w:rsid w:val="00575FC2"/>
    <w:rsid w:val="0058115B"/>
    <w:rsid w:val="00582807"/>
    <w:rsid w:val="00582977"/>
    <w:rsid w:val="005866DD"/>
    <w:rsid w:val="00590D7C"/>
    <w:rsid w:val="0059317B"/>
    <w:rsid w:val="00596F67"/>
    <w:rsid w:val="005B00B9"/>
    <w:rsid w:val="005B31D5"/>
    <w:rsid w:val="005B44B4"/>
    <w:rsid w:val="005C005E"/>
    <w:rsid w:val="005C66D3"/>
    <w:rsid w:val="005D2E1F"/>
    <w:rsid w:val="005F103C"/>
    <w:rsid w:val="0060453F"/>
    <w:rsid w:val="006045FD"/>
    <w:rsid w:val="006073C6"/>
    <w:rsid w:val="006160DD"/>
    <w:rsid w:val="006218B4"/>
    <w:rsid w:val="006411FE"/>
    <w:rsid w:val="006600C0"/>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360"/>
    <w:rsid w:val="00710E53"/>
    <w:rsid w:val="0071106B"/>
    <w:rsid w:val="007178CD"/>
    <w:rsid w:val="00722B49"/>
    <w:rsid w:val="00725153"/>
    <w:rsid w:val="00726D9C"/>
    <w:rsid w:val="00731E48"/>
    <w:rsid w:val="0074740B"/>
    <w:rsid w:val="00747556"/>
    <w:rsid w:val="007543D9"/>
    <w:rsid w:val="00754FBF"/>
    <w:rsid w:val="00755373"/>
    <w:rsid w:val="00755FCB"/>
    <w:rsid w:val="00776DF3"/>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13B97"/>
    <w:rsid w:val="008324FE"/>
    <w:rsid w:val="0083334C"/>
    <w:rsid w:val="00833AE1"/>
    <w:rsid w:val="00834323"/>
    <w:rsid w:val="00841379"/>
    <w:rsid w:val="0085068C"/>
    <w:rsid w:val="00853556"/>
    <w:rsid w:val="008545FA"/>
    <w:rsid w:val="008564E0"/>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3E8C"/>
    <w:rsid w:val="00954E6B"/>
    <w:rsid w:val="009569A2"/>
    <w:rsid w:val="0097250E"/>
    <w:rsid w:val="00981533"/>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3339A"/>
    <w:rsid w:val="00A4464F"/>
    <w:rsid w:val="00A46E8D"/>
    <w:rsid w:val="00A478D2"/>
    <w:rsid w:val="00A67624"/>
    <w:rsid w:val="00A719C8"/>
    <w:rsid w:val="00A754E0"/>
    <w:rsid w:val="00A84971"/>
    <w:rsid w:val="00A90F97"/>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4A8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10CA"/>
    <w:rsid w:val="00BF363B"/>
    <w:rsid w:val="00BF3F02"/>
    <w:rsid w:val="00BF3F2A"/>
    <w:rsid w:val="00BF688E"/>
    <w:rsid w:val="00BF6B18"/>
    <w:rsid w:val="00C00BC7"/>
    <w:rsid w:val="00C12969"/>
    <w:rsid w:val="00C13584"/>
    <w:rsid w:val="00C1690A"/>
    <w:rsid w:val="00C30C20"/>
    <w:rsid w:val="00C40E65"/>
    <w:rsid w:val="00C4430A"/>
    <w:rsid w:val="00C541CB"/>
    <w:rsid w:val="00C55166"/>
    <w:rsid w:val="00C714F0"/>
    <w:rsid w:val="00C76558"/>
    <w:rsid w:val="00C86FD4"/>
    <w:rsid w:val="00C96654"/>
    <w:rsid w:val="00CB2130"/>
    <w:rsid w:val="00CB3C11"/>
    <w:rsid w:val="00CD4D83"/>
    <w:rsid w:val="00CE3A7B"/>
    <w:rsid w:val="00D145C8"/>
    <w:rsid w:val="00D1587C"/>
    <w:rsid w:val="00D278D7"/>
    <w:rsid w:val="00D31D50"/>
    <w:rsid w:val="00D4211D"/>
    <w:rsid w:val="00D47DB0"/>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478EF"/>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271C"/>
    <w:rsid w:val="00F64CC8"/>
    <w:rsid w:val="00F840BC"/>
    <w:rsid w:val="00F8761F"/>
    <w:rsid w:val="00F94053"/>
    <w:rsid w:val="00F952C7"/>
    <w:rsid w:val="00F96BF5"/>
    <w:rsid w:val="00FA1FA5"/>
    <w:rsid w:val="00FA4F5F"/>
    <w:rsid w:val="00FA7B45"/>
    <w:rsid w:val="00FB608D"/>
    <w:rsid w:val="00FC0456"/>
    <w:rsid w:val="00FC3104"/>
    <w:rsid w:val="00FF44F0"/>
    <w:rsid w:val="00FF7A26"/>
    <w:rsid w:val="063350CB"/>
    <w:rsid w:val="0A98458D"/>
    <w:rsid w:val="0ABC69E4"/>
    <w:rsid w:val="0FB2207F"/>
    <w:rsid w:val="182F63A2"/>
    <w:rsid w:val="1A38282E"/>
    <w:rsid w:val="1AC07EBA"/>
    <w:rsid w:val="1ACB3F2E"/>
    <w:rsid w:val="214D1F33"/>
    <w:rsid w:val="24270744"/>
    <w:rsid w:val="245959CA"/>
    <w:rsid w:val="28872939"/>
    <w:rsid w:val="29F3755B"/>
    <w:rsid w:val="2F877A0B"/>
    <w:rsid w:val="336F094C"/>
    <w:rsid w:val="339A7CF0"/>
    <w:rsid w:val="357E652D"/>
    <w:rsid w:val="37007B1D"/>
    <w:rsid w:val="39992DC2"/>
    <w:rsid w:val="469B3C38"/>
    <w:rsid w:val="4ED75261"/>
    <w:rsid w:val="55340C9A"/>
    <w:rsid w:val="593A05D8"/>
    <w:rsid w:val="59B5371D"/>
    <w:rsid w:val="5BAD7C9A"/>
    <w:rsid w:val="7BC73CB0"/>
    <w:rsid w:val="7E1B7B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字符"/>
    <w:basedOn w:val="17"/>
    <w:link w:val="13"/>
    <w:qFormat/>
    <w:uiPriority w:val="99"/>
    <w:rPr>
      <w:rFonts w:ascii="Tahoma" w:hAnsi="Tahoma"/>
      <w:sz w:val="18"/>
      <w:szCs w:val="18"/>
    </w:rPr>
  </w:style>
  <w:style w:type="character" w:customStyle="1" w:styleId="23">
    <w:name w:val="页脚 字符"/>
    <w:basedOn w:val="17"/>
    <w:link w:val="12"/>
    <w:qFormat/>
    <w:uiPriority w:val="99"/>
    <w:rPr>
      <w:rFonts w:ascii="Tahoma" w:hAnsi="Tahoma"/>
      <w:sz w:val="18"/>
      <w:szCs w:val="18"/>
    </w:rPr>
  </w:style>
  <w:style w:type="character" w:customStyle="1" w:styleId="24">
    <w:name w:val="标题 1 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7"/>
    <w:link w:val="4"/>
    <w:qFormat/>
    <w:uiPriority w:val="0"/>
    <w:rPr>
      <w:rFonts w:ascii="Times New Roman" w:hAnsi="Times New Roman" w:eastAsia="宋体" w:cs="Times New Roman"/>
      <w:b/>
      <w:bCs/>
      <w:kern w:val="2"/>
      <w:sz w:val="32"/>
      <w:szCs w:val="32"/>
    </w:rPr>
  </w:style>
  <w:style w:type="character" w:customStyle="1" w:styleId="28">
    <w:name w:val="标题 4 字符"/>
    <w:basedOn w:val="17"/>
    <w:link w:val="6"/>
    <w:qFormat/>
    <w:uiPriority w:val="9"/>
    <w:rPr>
      <w:rFonts w:ascii="Arial" w:hAnsi="Arial" w:eastAsia="黑体" w:cs="Arial"/>
      <w:b/>
      <w:bCs/>
      <w:kern w:val="2"/>
      <w:sz w:val="28"/>
      <w:szCs w:val="28"/>
    </w:rPr>
  </w:style>
  <w:style w:type="character" w:customStyle="1" w:styleId="29">
    <w:name w:val="标题 字符"/>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10"/>
    <w:qFormat/>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字符"/>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字符"/>
    <w:basedOn w:val="17"/>
    <w:link w:val="11"/>
    <w:semiHidden/>
    <w:uiPriority w:val="99"/>
    <w:rPr>
      <w:rFonts w:ascii="Tahoma" w:hAnsi="Tahoma"/>
      <w:sz w:val="18"/>
      <w:szCs w:val="18"/>
    </w:rPr>
  </w:style>
  <w:style w:type="character" w:customStyle="1" w:styleId="45">
    <w:name w:val="批注文字 字符"/>
    <w:basedOn w:val="17"/>
    <w:link w:val="8"/>
    <w:semiHidden/>
    <w:qFormat/>
    <w:uiPriority w:val="99"/>
    <w:rPr>
      <w:rFonts w:ascii="Tahoma" w:hAnsi="Tahoma"/>
    </w:rPr>
  </w:style>
  <w:style w:type="character" w:customStyle="1" w:styleId="46">
    <w:name w:val="批注主题 字符"/>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E96935-52DC-40F5-9C92-52A5252A489D}">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1519</Words>
  <Characters>8661</Characters>
  <Lines>72</Lines>
  <Paragraphs>20</Paragraphs>
  <TotalTime>4</TotalTime>
  <ScaleCrop>false</ScaleCrop>
  <LinksUpToDate>false</LinksUpToDate>
  <CharactersWithSpaces>10160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2018-11-08T07:18:09Z</dcterms:modified>
  <cp:revision>685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