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center"/>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rFonts w:asciiTheme="minorEastAsia" w:hAnsiTheme="minorEastAsia" w:eastAsiaTheme="minorEastAsia"/>
          <w:b/>
          <w:bCs/>
          <w:sz w:val="32"/>
          <w:szCs w:val="32"/>
        </w:rPr>
      </w:pPr>
      <w:r>
        <w:rPr>
          <w:rFonts w:hint="eastAsia"/>
          <w:b/>
          <w:bCs/>
          <w:sz w:val="32"/>
        </w:rPr>
        <w:t>项目名称：</w:t>
      </w:r>
      <w:r>
        <w:rPr>
          <w:rFonts w:hint="eastAsia" w:asciiTheme="minorEastAsia" w:hAnsiTheme="minorEastAsia" w:eastAsiaTheme="minorEastAsia"/>
          <w:b/>
          <w:sz w:val="32"/>
          <w:szCs w:val="32"/>
        </w:rPr>
        <w:t>动物中心过氧化氢空间消毒器购置项目</w:t>
      </w:r>
    </w:p>
    <w:p>
      <w:pPr>
        <w:pStyle w:val="27"/>
        <w:ind w:firstLine="1606" w:firstLineChars="500"/>
        <w:rPr>
          <w:b/>
          <w:bCs/>
          <w:sz w:val="32"/>
        </w:rPr>
      </w:pPr>
      <w:r>
        <w:rPr>
          <w:rFonts w:hint="eastAsia"/>
          <w:b/>
          <w:bCs/>
          <w:sz w:val="32"/>
        </w:rPr>
        <w:t>项目编号：</w:t>
      </w:r>
      <w:r>
        <w:rPr>
          <w:rFonts w:hint="eastAsia"/>
          <w:b/>
          <w:bCs/>
          <w:sz w:val="32"/>
          <w:highlight w:val="none"/>
        </w:rPr>
        <w:t>NJMUZB301201904</w:t>
      </w:r>
      <w:r>
        <w:rPr>
          <w:rFonts w:hint="eastAsia"/>
          <w:b/>
          <w:bCs/>
          <w:sz w:val="32"/>
          <w:highlight w:val="none"/>
          <w:lang w:val="en-US" w:eastAsia="zh-CN"/>
        </w:rPr>
        <w:t>8</w:t>
      </w:r>
      <w:r>
        <w:rPr>
          <w:rFonts w:hint="eastAsia"/>
          <w:b/>
          <w:bCs/>
          <w:sz w:val="32"/>
          <w:highlight w:val="none"/>
        </w:rPr>
        <w:t xml:space="preserve"> </w:t>
      </w: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479757206"/>
      <w:bookmarkStart w:id="3" w:name="_Toc523127445"/>
      <w:bookmarkStart w:id="4" w:name="_Toc513029200"/>
      <w:bookmarkStart w:id="5" w:name="_Toc20823272"/>
      <w:bookmarkStart w:id="6" w:name="_Toc16938516"/>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1"/>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1"/>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4</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1"/>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7</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1"/>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19</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1"/>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1"/>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26</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_Toc120614211"/>
      <w:bookmarkStart w:id="9" w:name="OLE_LINK1"/>
      <w:bookmarkStart w:id="10" w:name="_Toc120614221"/>
      <w:bookmarkStart w:id="11" w:name="_Toc444669970"/>
      <w:bookmarkStart w:id="12" w:name="_Toc513029242"/>
      <w:bookmarkStart w:id="13" w:name="_Toc16938558"/>
      <w:bookmarkStart w:id="14" w:name="OLE_LINK2"/>
      <w:bookmarkStart w:id="15" w:name="_Toc20823314"/>
      <w:bookmarkStart w:id="16" w:name="_Toc479757207"/>
      <w:r>
        <w:rPr>
          <w:rFonts w:hint="eastAsia" w:asciiTheme="minorEastAsia" w:hAnsiTheme="minorEastAsia" w:eastAsiaTheme="minorEastAsia"/>
          <w:sz w:val="28"/>
          <w:szCs w:val="28"/>
        </w:rPr>
        <w:t>南京医科大学就</w:t>
      </w:r>
      <w:r>
        <w:rPr>
          <w:rFonts w:hint="eastAsia" w:asciiTheme="minorEastAsia" w:hAnsiTheme="minorEastAsia" w:eastAsiaTheme="minorEastAsia"/>
          <w:bCs/>
          <w:sz w:val="28"/>
          <w:szCs w:val="28"/>
          <w:u w:val="single"/>
        </w:rPr>
        <w:t>动物中心过氧化氢空间消毒器</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bCs/>
          <w:sz w:val="28"/>
          <w:szCs w:val="28"/>
        </w:rPr>
        <w:t>动物中心过氧化氢空间消毒器购置项目</w:t>
      </w:r>
    </w:p>
    <w:p>
      <w:pPr>
        <w:spacing w:beforeLines="50" w:afterLines="50" w:line="500" w:lineRule="exact"/>
        <w:ind w:firstLine="560" w:firstLineChars="200"/>
        <w:rPr>
          <w:rFonts w:asciiTheme="minorEastAsia" w:hAnsiTheme="minorEastAsia" w:eastAsiaTheme="minorEastAsia"/>
          <w:sz w:val="28"/>
          <w:szCs w:val="28"/>
          <w:highlight w:val="yellow"/>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NJMUZB301201904</w:t>
      </w:r>
      <w:r>
        <w:rPr>
          <w:rFonts w:hint="eastAsia" w:asciiTheme="minorEastAsia" w:hAnsiTheme="minorEastAsia" w:eastAsiaTheme="minorEastAsia"/>
          <w:sz w:val="28"/>
          <w:szCs w:val="28"/>
          <w:highlight w:val="none"/>
          <w:lang w:val="en-US" w:eastAsia="zh-CN"/>
        </w:rPr>
        <w:t>8</w:t>
      </w:r>
      <w:r>
        <w:rPr>
          <w:rFonts w:hint="eastAsia" w:asciiTheme="minorEastAsia" w:hAnsiTheme="minorEastAsia" w:eastAsiaTheme="minorEastAsia"/>
          <w:sz w:val="28"/>
          <w:szCs w:val="28"/>
          <w:highlight w:val="none"/>
        </w:rPr>
        <w:t xml:space="preserve"> </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￥17万元</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after="0"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（三）如为进口设备，需提供免税报价。</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color w:val="FF0000"/>
          <w:sz w:val="28"/>
          <w:szCs w:val="28"/>
        </w:rPr>
        <w:t>（注：分别提供纸质材料并加盖公章，原件备查）</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2、2018年度的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pStyle w:val="27"/>
        <w:ind w:left="279" w:leftChars="127" w:firstLine="330" w:firstLineChars="118"/>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生产厂家通过ISO 9001质量管理体系、ISO 14001环境管理体系、OHSAS 18001职业健康安全管理体系认证，并通过CE认证，和ASME认证；具有中国合格评定国家认可委员会实验室认可证书（CNAS认证），提供相应证明。</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w:t>
      </w: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29</w:t>
      </w:r>
      <w:r>
        <w:rPr>
          <w:rFonts w:hint="eastAsia" w:asciiTheme="minorEastAsia" w:hAnsiTheme="minorEastAsia" w:eastAsiaTheme="minorEastAsia"/>
          <w:sz w:val="24"/>
          <w:szCs w:val="24"/>
        </w:rPr>
        <w:t>日上午8:30（北京时间）</w:t>
      </w:r>
    </w:p>
    <w:p>
      <w:pPr>
        <w:spacing w:line="5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投标文件接收截止时间：2019年</w:t>
      </w: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29</w:t>
      </w:r>
      <w:r>
        <w:rPr>
          <w:rFonts w:hint="eastAsia" w:asciiTheme="minorEastAsia" w:hAnsiTheme="minorEastAsia" w:eastAsiaTheme="minorEastAsia"/>
          <w:sz w:val="24"/>
          <w:szCs w:val="24"/>
        </w:rPr>
        <w:t>日上午9:15（北京时间）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开标时间：2019年</w:t>
      </w: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29</w:t>
      </w:r>
      <w:bookmarkStart w:id="180" w:name="_GoBack"/>
      <w:bookmarkEnd w:id="180"/>
      <w:r>
        <w:rPr>
          <w:rFonts w:hint="eastAsia" w:asciiTheme="minorEastAsia" w:hAnsiTheme="minorEastAsia" w:eastAsiaTheme="minorEastAsia"/>
          <w:sz w:val="24"/>
          <w:szCs w:val="24"/>
        </w:rPr>
        <w:t>日上午9:15（北京时间）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numPr>
          <w:ilvl w:val="0"/>
          <w:numId w:val="3"/>
        </w:numPr>
        <w:spacing w:beforeLines="50" w:afterLines="50" w:line="27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270" w:lineRule="exact"/>
        <w:ind w:firstLine="500" w:firstLineChars="200"/>
        <w:rPr>
          <w:rFonts w:asciiTheme="minorEastAsia" w:hAnsiTheme="minorEastAsia" w:eastAsia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项目需求方联系人：周</w:t>
      </w:r>
      <w:r>
        <w:rPr>
          <w:rFonts w:hint="eastAsia" w:ascii="宋体" w:hAnsi="宋体" w:eastAsia="宋体" w:cs="Times New Roman"/>
          <w:sz w:val="24"/>
          <w:szCs w:val="24"/>
        </w:rPr>
        <w:t xml:space="preserve">老师       </w:t>
      </w:r>
      <w:r>
        <w:rPr>
          <w:rFonts w:hint="eastAsia" w:asciiTheme="minorEastAsia" w:hAnsiTheme="minorEastAsia" w:eastAsiaTheme="minorEastAsia"/>
          <w:sz w:val="24"/>
          <w:szCs w:val="24"/>
        </w:rPr>
        <w:t>电话：025-86867147</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20823274"/>
      <w:bookmarkStart w:id="19" w:name="_Toc120614213"/>
      <w:bookmarkStart w:id="20" w:name="_Toc16938518"/>
      <w:bookmarkStart w:id="21" w:name="_Toc513029202"/>
      <w:r>
        <w:rPr>
          <w:rFonts w:hint="eastAsia" w:asciiTheme="majorEastAsia" w:hAnsiTheme="majorEastAsia" w:eastAsiaTheme="majorEastAsia"/>
          <w:b/>
          <w:sz w:val="44"/>
        </w:rPr>
        <w:t>投标人须知</w:t>
      </w:r>
      <w:bookmarkEnd w:id="17"/>
      <w:bookmarkEnd w:id="18"/>
      <w:bookmarkEnd w:id="19"/>
      <w:bookmarkEnd w:id="20"/>
      <w:bookmarkEnd w:id="21"/>
    </w:p>
    <w:p>
      <w:pPr>
        <w:pStyle w:val="27"/>
        <w:rPr>
          <w:b/>
          <w:sz w:val="28"/>
          <w:szCs w:val="28"/>
        </w:rPr>
      </w:pPr>
      <w:bookmarkStart w:id="22" w:name="_Toc16938519"/>
      <w:bookmarkStart w:id="23" w:name="_Toc513029203"/>
      <w:bookmarkStart w:id="24" w:name="_Toc20823275"/>
      <w:bookmarkStart w:id="25" w:name="_Toc120614214"/>
      <w:r>
        <w:rPr>
          <w:rFonts w:hint="eastAsia"/>
          <w:b/>
          <w:sz w:val="28"/>
          <w:szCs w:val="28"/>
        </w:rPr>
        <w:t>一、总则</w:t>
      </w:r>
      <w:bookmarkEnd w:id="22"/>
      <w:bookmarkEnd w:id="23"/>
      <w:bookmarkEnd w:id="24"/>
      <w:bookmarkEnd w:id="25"/>
    </w:p>
    <w:p>
      <w:pPr>
        <w:pStyle w:val="27"/>
        <w:rPr>
          <w:b/>
          <w:bCs/>
          <w:sz w:val="28"/>
          <w:szCs w:val="28"/>
        </w:rPr>
      </w:pPr>
      <w:bookmarkStart w:id="26" w:name="_Hlt16619475"/>
      <w:bookmarkEnd w:id="26"/>
      <w:bookmarkStart w:id="27" w:name="_Toc458694821"/>
      <w:bookmarkStart w:id="28" w:name="_Toc16938520"/>
      <w:bookmarkStart w:id="29" w:name="_Toc513029204"/>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1" w:name="_Toc513029205"/>
      <w:bookmarkStart w:id="32" w:name="_Toc16938521"/>
      <w:bookmarkStart w:id="33" w:name="_Toc20823277"/>
      <w:r>
        <w:rPr>
          <w:rFonts w:hint="eastAsia"/>
          <w:b/>
          <w:bCs/>
          <w:sz w:val="28"/>
          <w:szCs w:val="28"/>
        </w:rPr>
        <w:t>2、合格的投标人</w:t>
      </w:r>
      <w:bookmarkEnd w:id="31"/>
      <w:bookmarkEnd w:id="32"/>
      <w:bookmarkEnd w:id="33"/>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4" w:name="_Toc513029206"/>
      <w:bookmarkStart w:id="35" w:name="_Toc20823278"/>
      <w:bookmarkStart w:id="36" w:name="_Toc16938522"/>
      <w:r>
        <w:rPr>
          <w:rFonts w:hint="eastAsia"/>
          <w:b/>
          <w:bCs/>
          <w:sz w:val="28"/>
          <w:szCs w:val="28"/>
        </w:rPr>
        <w:t>3、适用法律</w:t>
      </w:r>
      <w:bookmarkEnd w:id="34"/>
      <w:bookmarkEnd w:id="35"/>
      <w:bookmarkEnd w:id="36"/>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7" w:name="_Toc16938523"/>
      <w:bookmarkStart w:id="38" w:name="_Toc462564067"/>
      <w:bookmarkStart w:id="39" w:name="_Toc20823279"/>
      <w:bookmarkStart w:id="40" w:name="_Toc513029207"/>
      <w:r>
        <w:rPr>
          <w:rFonts w:hint="eastAsia"/>
          <w:b/>
          <w:bCs/>
          <w:sz w:val="28"/>
          <w:szCs w:val="28"/>
        </w:rPr>
        <w:t>4、投标费用</w:t>
      </w:r>
      <w:bookmarkEnd w:id="37"/>
      <w:bookmarkEnd w:id="38"/>
      <w:bookmarkEnd w:id="39"/>
      <w:bookmarkEnd w:id="40"/>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1" w:name="_Toc16938525"/>
      <w:bookmarkStart w:id="42" w:name="_Toc513029209"/>
      <w:bookmarkStart w:id="43" w:name="_Toc120614215"/>
      <w:bookmarkStart w:id="44" w:name="_Toc20823281"/>
      <w:bookmarkStart w:id="45" w:name="_Toc517190883"/>
      <w:r>
        <w:rPr>
          <w:rFonts w:hint="eastAsia"/>
          <w:b/>
          <w:sz w:val="28"/>
          <w:szCs w:val="28"/>
        </w:rPr>
        <w:t>二、招标文件</w:t>
      </w:r>
      <w:bookmarkEnd w:id="41"/>
      <w:bookmarkEnd w:id="42"/>
      <w:bookmarkEnd w:id="43"/>
      <w:bookmarkEnd w:id="44"/>
      <w:bookmarkEnd w:id="45"/>
    </w:p>
    <w:p>
      <w:pPr>
        <w:pStyle w:val="27"/>
        <w:rPr>
          <w:b/>
          <w:bCs/>
          <w:sz w:val="28"/>
          <w:szCs w:val="28"/>
        </w:rPr>
      </w:pPr>
      <w:bookmarkStart w:id="46" w:name="_Toc20823282"/>
      <w:bookmarkStart w:id="47" w:name="_Toc513029210"/>
      <w:bookmarkStart w:id="48" w:name="_Toc16938526"/>
      <w:r>
        <w:rPr>
          <w:rFonts w:hint="eastAsia"/>
          <w:b/>
          <w:bCs/>
          <w:sz w:val="28"/>
          <w:szCs w:val="28"/>
        </w:rPr>
        <w:t>6、招标文件构成</w:t>
      </w:r>
      <w:bookmarkEnd w:id="46"/>
      <w:bookmarkEnd w:id="47"/>
      <w:bookmarkEnd w:id="48"/>
    </w:p>
    <w:p>
      <w:pPr>
        <w:pStyle w:val="27"/>
        <w:rPr>
          <w:sz w:val="28"/>
          <w:szCs w:val="28"/>
        </w:rPr>
      </w:pPr>
      <w:r>
        <w:rPr>
          <w:rFonts w:hint="eastAsia"/>
          <w:bCs/>
          <w:sz w:val="28"/>
          <w:szCs w:val="28"/>
        </w:rPr>
        <w:t>6.1</w:t>
      </w:r>
      <w:r>
        <w:rPr>
          <w:rFonts w:hint="eastAsia"/>
          <w:sz w:val="28"/>
          <w:szCs w:val="28"/>
        </w:rPr>
        <w:t>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49" w:name="_Toc16938527"/>
      <w:bookmarkStart w:id="50" w:name="_Toc513029211"/>
      <w:bookmarkStart w:id="51" w:name="_Toc462564070"/>
      <w:bookmarkStart w:id="52" w:name="_Toc20823283"/>
      <w:r>
        <w:rPr>
          <w:rFonts w:hint="eastAsia"/>
          <w:b/>
          <w:bCs/>
          <w:sz w:val="28"/>
          <w:szCs w:val="28"/>
        </w:rPr>
        <w:t>7、招标文件的澄清</w:t>
      </w:r>
      <w:bookmarkEnd w:id="49"/>
      <w:bookmarkEnd w:id="50"/>
      <w:bookmarkEnd w:id="51"/>
      <w:bookmarkEnd w:id="52"/>
    </w:p>
    <w:p>
      <w:pPr>
        <w:pStyle w:val="27"/>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7"/>
        <w:rPr>
          <w:b/>
          <w:bCs/>
          <w:sz w:val="28"/>
          <w:szCs w:val="28"/>
        </w:rPr>
      </w:pPr>
      <w:bookmarkStart w:id="53" w:name="_Toc20823284"/>
      <w:bookmarkStart w:id="54" w:name="_Toc462564071"/>
      <w:bookmarkStart w:id="55" w:name="_Toc513029212"/>
      <w:bookmarkStart w:id="56" w:name="_Toc16938528"/>
      <w:r>
        <w:rPr>
          <w:rFonts w:hint="eastAsia"/>
          <w:b/>
          <w:bCs/>
          <w:sz w:val="28"/>
          <w:szCs w:val="28"/>
        </w:rPr>
        <w:t>8、招标文件的修改</w:t>
      </w:r>
      <w:bookmarkEnd w:id="53"/>
      <w:bookmarkEnd w:id="54"/>
      <w:bookmarkEnd w:id="55"/>
      <w:bookmarkEnd w:id="56"/>
    </w:p>
    <w:p>
      <w:pPr>
        <w:pStyle w:val="27"/>
        <w:rPr>
          <w:sz w:val="28"/>
          <w:szCs w:val="28"/>
        </w:rPr>
      </w:pPr>
      <w:r>
        <w:rPr>
          <w:rFonts w:hint="eastAsia"/>
          <w:bCs/>
          <w:sz w:val="28"/>
          <w:szCs w:val="28"/>
        </w:rPr>
        <w:t>8.1</w:t>
      </w:r>
      <w:r>
        <w:rPr>
          <w:rFonts w:hint="eastAsia"/>
          <w:sz w:val="28"/>
          <w:szCs w:val="28"/>
        </w:rPr>
        <w:t>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7" w:name="_Toc20823285"/>
      <w:bookmarkStart w:id="58" w:name="_Toc120614216"/>
      <w:bookmarkStart w:id="59" w:name="_Toc513029213"/>
      <w:bookmarkStart w:id="60" w:name="_Toc462564072"/>
      <w:bookmarkStart w:id="61" w:name="_Toc517190884"/>
      <w:bookmarkStart w:id="62" w:name="_Toc16938529"/>
      <w:r>
        <w:rPr>
          <w:rFonts w:hint="eastAsia"/>
          <w:b/>
          <w:sz w:val="28"/>
          <w:szCs w:val="28"/>
        </w:rPr>
        <w:t>三、投标文件的编制</w:t>
      </w:r>
      <w:bookmarkEnd w:id="57"/>
      <w:bookmarkEnd w:id="58"/>
      <w:bookmarkEnd w:id="59"/>
      <w:bookmarkEnd w:id="60"/>
      <w:bookmarkEnd w:id="61"/>
      <w:bookmarkEnd w:id="62"/>
    </w:p>
    <w:p>
      <w:pPr>
        <w:pStyle w:val="27"/>
        <w:rPr>
          <w:bCs/>
          <w:sz w:val="28"/>
          <w:szCs w:val="28"/>
        </w:rPr>
      </w:pPr>
      <w:bookmarkStart w:id="63" w:name="_Toc513029214"/>
      <w:bookmarkStart w:id="64" w:name="_Toc16938530"/>
      <w:bookmarkStart w:id="65" w:name="_Toc462564073"/>
      <w:bookmarkStart w:id="66" w:name="_Toc20823286"/>
      <w:r>
        <w:rPr>
          <w:rFonts w:hint="eastAsia"/>
          <w:b/>
          <w:bCs/>
          <w:sz w:val="28"/>
          <w:szCs w:val="28"/>
        </w:rPr>
        <w:t>9、投标文件的语言及度量衡单位</w:t>
      </w:r>
      <w:bookmarkEnd w:id="63"/>
      <w:bookmarkEnd w:id="64"/>
      <w:bookmarkEnd w:id="65"/>
      <w:bookmarkEnd w:id="66"/>
    </w:p>
    <w:p>
      <w:pPr>
        <w:pStyle w:val="27"/>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7"/>
        <w:rPr>
          <w:b/>
          <w:bCs/>
          <w:sz w:val="28"/>
          <w:szCs w:val="28"/>
        </w:rPr>
      </w:pPr>
      <w:bookmarkStart w:id="67" w:name="_Toc462564074"/>
      <w:bookmarkStart w:id="68" w:name="_Toc513029215"/>
      <w:bookmarkStart w:id="69" w:name="_Toc20823287"/>
      <w:bookmarkStart w:id="70" w:name="_Toc16938531"/>
      <w:r>
        <w:rPr>
          <w:rFonts w:hint="eastAsia"/>
          <w:b/>
          <w:bCs/>
          <w:sz w:val="28"/>
          <w:szCs w:val="28"/>
        </w:rPr>
        <w:t>10、投标文件构成</w:t>
      </w:r>
      <w:bookmarkEnd w:id="67"/>
      <w:bookmarkEnd w:id="68"/>
      <w:bookmarkEnd w:id="69"/>
      <w:bookmarkEnd w:id="70"/>
    </w:p>
    <w:p>
      <w:pPr>
        <w:pStyle w:val="27"/>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7"/>
        <w:rPr>
          <w:sz w:val="28"/>
          <w:szCs w:val="28"/>
        </w:rPr>
      </w:pPr>
      <w:r>
        <w:rPr>
          <w:rFonts w:hint="eastAsia"/>
          <w:sz w:val="28"/>
          <w:szCs w:val="28"/>
        </w:rPr>
        <w:t>10.2投标人应将投标文件按顺序装订成册，并编制投标文件资料目录。</w:t>
      </w:r>
    </w:p>
    <w:p>
      <w:pPr>
        <w:pStyle w:val="27"/>
        <w:rPr>
          <w:b/>
          <w:bCs/>
          <w:sz w:val="28"/>
          <w:szCs w:val="28"/>
        </w:rPr>
      </w:pPr>
      <w:bookmarkStart w:id="71" w:name="_Hlt26668975"/>
      <w:bookmarkEnd w:id="71"/>
      <w:bookmarkStart w:id="72" w:name="_Hlt26954838"/>
      <w:bookmarkEnd w:id="72"/>
      <w:bookmarkStart w:id="73" w:name="_Hlt26670360"/>
      <w:bookmarkEnd w:id="73"/>
      <w:bookmarkStart w:id="74" w:name="_Toc49090509"/>
      <w:bookmarkStart w:id="75" w:name="_Toc14577357"/>
      <w:bookmarkStart w:id="76" w:name="_Toc513029219"/>
      <w:bookmarkStart w:id="77" w:name="_Toc14577354"/>
      <w:bookmarkStart w:id="78" w:name="_Toc49090507"/>
      <w:bookmarkStart w:id="79" w:name="_Toc513029216"/>
      <w:r>
        <w:rPr>
          <w:rFonts w:hint="eastAsia"/>
          <w:b/>
          <w:bCs/>
          <w:sz w:val="28"/>
          <w:szCs w:val="28"/>
        </w:rPr>
        <w:t>11、证明投标人资格及符合招标文件规定的文件</w:t>
      </w:r>
      <w:bookmarkEnd w:id="74"/>
      <w:bookmarkEnd w:id="75"/>
      <w:bookmarkEnd w:id="76"/>
    </w:p>
    <w:p>
      <w:pPr>
        <w:pStyle w:val="27"/>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11.3投标人除必须具有履行合同所需提供的货物以及服务的能力外，还必须具备相应的财务、技术方面的能力。</w:t>
      </w:r>
    </w:p>
    <w:p>
      <w:pPr>
        <w:pStyle w:val="27"/>
        <w:rPr>
          <w:sz w:val="28"/>
          <w:szCs w:val="28"/>
        </w:rPr>
      </w:pPr>
      <w:r>
        <w:rPr>
          <w:rFonts w:hint="eastAsia"/>
          <w:sz w:val="28"/>
          <w:szCs w:val="28"/>
        </w:rPr>
        <w:t>11.4投标人应提交根据采购项目要求提供的证明产品质量合格以及符合招标文件规定的证明文件。</w:t>
      </w:r>
    </w:p>
    <w:p>
      <w:pPr>
        <w:pStyle w:val="27"/>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7"/>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7"/>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7"/>
        <w:rPr>
          <w:bCs/>
          <w:sz w:val="28"/>
          <w:szCs w:val="28"/>
        </w:rPr>
      </w:pPr>
      <w:bookmarkStart w:id="86" w:name="_Hlt26954842"/>
      <w:bookmarkEnd w:id="86"/>
      <w:bookmarkStart w:id="87" w:name="_Hlt26670425"/>
      <w:bookmarkEnd w:id="87"/>
      <w:bookmarkStart w:id="88" w:name="_Hlt26670403"/>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7"/>
        <w:rPr>
          <w:bCs/>
          <w:sz w:val="28"/>
          <w:szCs w:val="28"/>
        </w:rPr>
      </w:pPr>
      <w:r>
        <w:rPr>
          <w:rFonts w:hint="eastAsia"/>
          <w:sz w:val="28"/>
          <w:szCs w:val="28"/>
        </w:rPr>
        <w:t>（2）</w:t>
      </w:r>
      <w:r>
        <w:rPr>
          <w:rFonts w:hint="eastAsia"/>
          <w:bCs/>
          <w:sz w:val="28"/>
          <w:szCs w:val="28"/>
        </w:rPr>
        <w:t>项目单价按投标配置及分项报价表中要求填报。</w:t>
      </w:r>
    </w:p>
    <w:p>
      <w:pPr>
        <w:pStyle w:val="27"/>
        <w:rPr>
          <w:b/>
          <w:bCs/>
          <w:sz w:val="28"/>
          <w:szCs w:val="28"/>
        </w:rPr>
      </w:pPr>
      <w:bookmarkStart w:id="91" w:name="_Hlt26954731"/>
      <w:bookmarkEnd w:id="91"/>
      <w:bookmarkStart w:id="92" w:name="_Hlt26954848"/>
      <w:bookmarkEnd w:id="92"/>
      <w:bookmarkStart w:id="93" w:name="_Hlt26954846"/>
      <w:bookmarkEnd w:id="93"/>
      <w:bookmarkStart w:id="94" w:name="_Hlt26670486"/>
      <w:bookmarkEnd w:id="94"/>
      <w:bookmarkStart w:id="95" w:name="_Hlt26670482"/>
      <w:bookmarkEnd w:id="95"/>
      <w:r>
        <w:rPr>
          <w:rFonts w:hint="eastAsia"/>
          <w:b/>
          <w:bCs/>
          <w:sz w:val="28"/>
          <w:szCs w:val="28"/>
        </w:rPr>
        <w:t>13、技术参数响应及偏离表和投标货物说明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7"/>
        <w:rPr>
          <w:rFonts w:cs="宋体"/>
          <w:sz w:val="28"/>
          <w:szCs w:val="28"/>
          <w:lang w:val="zh-CN"/>
        </w:rPr>
      </w:pPr>
      <w:r>
        <w:rPr>
          <w:rFonts w:hint="eastAsia" w:cs="宋体"/>
          <w:sz w:val="28"/>
          <w:szCs w:val="28"/>
          <w:lang w:val="zh-CN"/>
        </w:rPr>
        <w:t>13.2详细阐述所投货物的主要组成部分、功能设计、实现思路及关键技术；</w:t>
      </w:r>
    </w:p>
    <w:p>
      <w:pPr>
        <w:pStyle w:val="27"/>
        <w:rPr>
          <w:rFonts w:cs="宋体"/>
          <w:sz w:val="28"/>
          <w:szCs w:val="28"/>
          <w:lang w:val="zh-CN"/>
        </w:rPr>
      </w:pPr>
      <w:r>
        <w:rPr>
          <w:rFonts w:hint="eastAsia" w:cs="宋体"/>
          <w:sz w:val="28"/>
          <w:szCs w:val="28"/>
          <w:lang w:val="zh-CN"/>
        </w:rPr>
        <w:t>13.3投标人认为需要的其他技术文件或说明。</w:t>
      </w:r>
    </w:p>
    <w:p>
      <w:pPr>
        <w:pStyle w:val="27"/>
        <w:rPr>
          <w:b/>
          <w:bCs/>
          <w:sz w:val="28"/>
          <w:szCs w:val="28"/>
        </w:rPr>
      </w:pPr>
      <w:r>
        <w:rPr>
          <w:rFonts w:hint="eastAsia"/>
          <w:b/>
          <w:bCs/>
          <w:sz w:val="28"/>
          <w:szCs w:val="28"/>
        </w:rPr>
        <w:t>14、服务承诺及售后服务机构、人员的情况介绍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7"/>
        <w:rPr>
          <w:rFonts w:cs="宋体"/>
          <w:sz w:val="28"/>
          <w:szCs w:val="28"/>
          <w:lang w:val="zh-CN"/>
        </w:rPr>
      </w:pPr>
      <w:r>
        <w:rPr>
          <w:rFonts w:hint="eastAsia" w:cs="宋体"/>
          <w:sz w:val="28"/>
          <w:szCs w:val="28"/>
          <w:lang w:val="zh-CN"/>
        </w:rPr>
        <w:t>14.3培训计划；</w:t>
      </w:r>
    </w:p>
    <w:p>
      <w:pPr>
        <w:pStyle w:val="27"/>
        <w:rPr>
          <w:rFonts w:cs="宋体"/>
          <w:sz w:val="28"/>
          <w:szCs w:val="28"/>
          <w:lang w:val="zh-CN"/>
        </w:rPr>
      </w:pPr>
      <w:r>
        <w:rPr>
          <w:rFonts w:hint="eastAsia" w:cs="宋体"/>
          <w:sz w:val="28"/>
          <w:szCs w:val="28"/>
          <w:lang w:val="zh-CN"/>
        </w:rPr>
        <w:t>14.4提供参加本项目类似案例简介；</w:t>
      </w:r>
    </w:p>
    <w:p>
      <w:pPr>
        <w:pStyle w:val="27"/>
        <w:rPr>
          <w:b/>
          <w:bCs/>
          <w:sz w:val="28"/>
          <w:szCs w:val="28"/>
        </w:rPr>
      </w:pPr>
      <w:bookmarkStart w:id="96" w:name="_Toc49090510"/>
      <w:bookmarkStart w:id="97" w:name="_Toc14577359"/>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7"/>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7"/>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7"/>
        <w:rPr>
          <w:b/>
          <w:bCs/>
          <w:sz w:val="28"/>
          <w:szCs w:val="28"/>
        </w:rPr>
      </w:pPr>
      <w:r>
        <w:rPr>
          <w:rFonts w:hint="eastAsia"/>
          <w:b/>
          <w:bCs/>
          <w:sz w:val="28"/>
          <w:szCs w:val="28"/>
        </w:rPr>
        <w:t>16、投标保证金</w:t>
      </w:r>
      <w:bookmarkEnd w:id="96"/>
      <w:bookmarkEnd w:id="97"/>
    </w:p>
    <w:p>
      <w:pPr>
        <w:pStyle w:val="27"/>
        <w:rPr>
          <w:bCs/>
          <w:sz w:val="28"/>
          <w:szCs w:val="28"/>
        </w:rPr>
      </w:pPr>
      <w:r>
        <w:rPr>
          <w:rFonts w:hint="eastAsia"/>
          <w:sz w:val="28"/>
          <w:szCs w:val="28"/>
        </w:rPr>
        <w:t>16.1</w:t>
      </w:r>
      <w:r>
        <w:rPr>
          <w:rFonts w:hint="eastAsia"/>
          <w:bCs/>
          <w:sz w:val="28"/>
          <w:szCs w:val="28"/>
        </w:rPr>
        <w:t>在开标时，未按要求提交投标保证金的投标无效。</w:t>
      </w:r>
    </w:p>
    <w:p>
      <w:pPr>
        <w:pStyle w:val="27"/>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7"/>
        <w:rPr>
          <w:bCs/>
          <w:sz w:val="28"/>
          <w:szCs w:val="28"/>
        </w:rPr>
      </w:pPr>
      <w:r>
        <w:rPr>
          <w:rFonts w:hint="eastAsia"/>
          <w:sz w:val="28"/>
          <w:szCs w:val="28"/>
        </w:rPr>
        <w:t>16.3</w:t>
      </w:r>
      <w:r>
        <w:rPr>
          <w:rFonts w:hint="eastAsia"/>
          <w:bCs/>
          <w:sz w:val="28"/>
          <w:szCs w:val="28"/>
        </w:rPr>
        <w:t>下列任何情况发生时，投标保证金将不予退还：</w:t>
      </w:r>
    </w:p>
    <w:p>
      <w:pPr>
        <w:pStyle w:val="27"/>
        <w:rPr>
          <w:bCs/>
          <w:sz w:val="28"/>
          <w:szCs w:val="28"/>
        </w:rPr>
      </w:pPr>
      <w:r>
        <w:rPr>
          <w:rFonts w:hint="eastAsia"/>
          <w:bCs/>
          <w:sz w:val="28"/>
          <w:szCs w:val="28"/>
        </w:rPr>
        <w:t>（1）投标人在投标有效期内撤回其投标；</w:t>
      </w:r>
    </w:p>
    <w:p>
      <w:pPr>
        <w:pStyle w:val="27"/>
        <w:rPr>
          <w:bCs/>
          <w:sz w:val="28"/>
          <w:szCs w:val="28"/>
        </w:rPr>
      </w:pPr>
      <w:r>
        <w:rPr>
          <w:rFonts w:hint="eastAsia"/>
          <w:bCs/>
          <w:sz w:val="28"/>
          <w:szCs w:val="28"/>
        </w:rPr>
        <w:t>（2）投标人提供的有关资料、资格证明文件被确认是不真实的；</w:t>
      </w:r>
    </w:p>
    <w:p>
      <w:pPr>
        <w:pStyle w:val="27"/>
        <w:rPr>
          <w:sz w:val="28"/>
          <w:szCs w:val="28"/>
        </w:rPr>
      </w:pPr>
      <w:r>
        <w:rPr>
          <w:rFonts w:hint="eastAsia"/>
          <w:sz w:val="28"/>
          <w:szCs w:val="28"/>
        </w:rPr>
        <w:t>（3）投标人之间被证实有串通（统一哄抬价格）、欺诈行为；</w:t>
      </w:r>
    </w:p>
    <w:p>
      <w:pPr>
        <w:pStyle w:val="27"/>
        <w:rPr>
          <w:sz w:val="28"/>
          <w:szCs w:val="28"/>
        </w:rPr>
      </w:pPr>
      <w:r>
        <w:rPr>
          <w:rFonts w:hint="eastAsia"/>
          <w:sz w:val="28"/>
          <w:szCs w:val="28"/>
        </w:rPr>
        <w:t>（4）投标人被证明有妨碍其他人公平竞争、损害采购人或者其他投标人合法权益的；</w:t>
      </w:r>
    </w:p>
    <w:p>
      <w:pPr>
        <w:pStyle w:val="27"/>
        <w:rPr>
          <w:b/>
          <w:bCs/>
          <w:sz w:val="28"/>
          <w:szCs w:val="28"/>
        </w:rPr>
      </w:pPr>
      <w:bookmarkStart w:id="98" w:name="_Hlt26954850"/>
      <w:bookmarkEnd w:id="98"/>
      <w:bookmarkStart w:id="99" w:name="_Hlt26954852"/>
      <w:bookmarkEnd w:id="99"/>
      <w:bookmarkStart w:id="100" w:name="_Hlt26670489"/>
      <w:bookmarkEnd w:id="100"/>
      <w:bookmarkStart w:id="101" w:name="_Hlt26954739"/>
      <w:bookmarkEnd w:id="101"/>
      <w:bookmarkStart w:id="102" w:name="_Hlt26954734"/>
      <w:bookmarkEnd w:id="102"/>
      <w:bookmarkStart w:id="103" w:name="_Toc49090512"/>
      <w:bookmarkStart w:id="104" w:name="_Toc14577361"/>
      <w:r>
        <w:rPr>
          <w:rFonts w:hint="eastAsia"/>
          <w:b/>
          <w:bCs/>
          <w:sz w:val="28"/>
          <w:szCs w:val="28"/>
        </w:rPr>
        <w:t>17、投标文件份数和签署</w:t>
      </w:r>
      <w:bookmarkEnd w:id="103"/>
      <w:bookmarkEnd w:id="104"/>
    </w:p>
    <w:p>
      <w:pPr>
        <w:pStyle w:val="27"/>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7"/>
        <w:rPr>
          <w:sz w:val="28"/>
          <w:szCs w:val="28"/>
        </w:rPr>
      </w:pPr>
      <w:r>
        <w:rPr>
          <w:rFonts w:hint="eastAsia"/>
          <w:sz w:val="28"/>
          <w:szCs w:val="28"/>
        </w:rPr>
        <w:t>17.2投标文件的正本须经法定代表人或授权代表签署和加盖投标人公章。</w:t>
      </w:r>
    </w:p>
    <w:p>
      <w:pPr>
        <w:pStyle w:val="27"/>
        <w:rPr>
          <w:b/>
          <w:sz w:val="28"/>
          <w:szCs w:val="28"/>
        </w:rPr>
      </w:pPr>
      <w:bookmarkStart w:id="105" w:name="_Toc20823296"/>
      <w:bookmarkStart w:id="106" w:name="_Toc16938540"/>
      <w:bookmarkStart w:id="107" w:name="_Toc120614217"/>
      <w:bookmarkStart w:id="108" w:name="_Toc517190885"/>
      <w:bookmarkStart w:id="109" w:name="_Toc513029224"/>
      <w:r>
        <w:rPr>
          <w:rFonts w:hint="eastAsia"/>
          <w:b/>
          <w:sz w:val="28"/>
          <w:szCs w:val="28"/>
        </w:rPr>
        <w:t>四、投标文件的递交</w:t>
      </w:r>
      <w:bookmarkEnd w:id="105"/>
      <w:bookmarkEnd w:id="106"/>
      <w:bookmarkEnd w:id="107"/>
      <w:bookmarkEnd w:id="108"/>
      <w:bookmarkEnd w:id="109"/>
    </w:p>
    <w:p>
      <w:pPr>
        <w:pStyle w:val="27"/>
        <w:rPr>
          <w:b/>
          <w:bCs/>
          <w:sz w:val="28"/>
          <w:szCs w:val="28"/>
        </w:rPr>
      </w:pPr>
      <w:bookmarkStart w:id="110" w:name="_Toc16938541"/>
      <w:bookmarkStart w:id="111" w:name="_Toc462564084"/>
      <w:bookmarkStart w:id="112" w:name="_Toc513029225"/>
      <w:bookmarkStart w:id="113" w:name="_Toc20823297"/>
      <w:r>
        <w:rPr>
          <w:rFonts w:hint="eastAsia"/>
          <w:b/>
          <w:bCs/>
          <w:sz w:val="28"/>
          <w:szCs w:val="28"/>
        </w:rPr>
        <w:t>18、投标文件的密封和标记</w:t>
      </w:r>
      <w:bookmarkEnd w:id="110"/>
      <w:bookmarkEnd w:id="111"/>
      <w:bookmarkEnd w:id="112"/>
      <w:bookmarkEnd w:id="113"/>
    </w:p>
    <w:p>
      <w:pPr>
        <w:pStyle w:val="27"/>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7"/>
        <w:rPr>
          <w:bCs/>
          <w:sz w:val="28"/>
          <w:szCs w:val="28"/>
        </w:rPr>
      </w:pPr>
      <w:r>
        <w:rPr>
          <w:rFonts w:hint="eastAsia"/>
          <w:sz w:val="28"/>
          <w:szCs w:val="28"/>
        </w:rPr>
        <w:t>18.2</w:t>
      </w:r>
      <w:r>
        <w:rPr>
          <w:rFonts w:hint="eastAsia"/>
          <w:bCs/>
          <w:sz w:val="28"/>
          <w:szCs w:val="28"/>
        </w:rPr>
        <w:t>密封的投标文件应：</w:t>
      </w:r>
    </w:p>
    <w:p>
      <w:pPr>
        <w:pStyle w:val="27"/>
        <w:rPr>
          <w:bCs/>
          <w:sz w:val="28"/>
          <w:szCs w:val="28"/>
        </w:rPr>
      </w:pPr>
      <w:r>
        <w:rPr>
          <w:rFonts w:hint="eastAsia"/>
          <w:bCs/>
          <w:sz w:val="28"/>
          <w:szCs w:val="28"/>
        </w:rPr>
        <w:t>（1）注明投标人名称，如因标注不清而产生的后果由投标人自负。</w:t>
      </w:r>
    </w:p>
    <w:p>
      <w:pPr>
        <w:pStyle w:val="27"/>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7"/>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7"/>
        <w:rPr>
          <w:b/>
          <w:bCs/>
          <w:sz w:val="28"/>
          <w:szCs w:val="28"/>
        </w:rPr>
      </w:pPr>
      <w:bookmarkStart w:id="114" w:name="_Toc16938542"/>
      <w:bookmarkStart w:id="115" w:name="_Toc20823298"/>
      <w:bookmarkStart w:id="116" w:name="_Toc513029226"/>
      <w:r>
        <w:rPr>
          <w:rFonts w:hint="eastAsia"/>
          <w:b/>
          <w:bCs/>
          <w:sz w:val="28"/>
          <w:szCs w:val="28"/>
        </w:rPr>
        <w:t>19、投标截止</w:t>
      </w:r>
      <w:bookmarkEnd w:id="114"/>
      <w:bookmarkEnd w:id="115"/>
      <w:bookmarkEnd w:id="116"/>
      <w:r>
        <w:rPr>
          <w:rFonts w:hint="eastAsia"/>
          <w:b/>
          <w:bCs/>
          <w:sz w:val="28"/>
          <w:szCs w:val="28"/>
        </w:rPr>
        <w:t>时间</w:t>
      </w:r>
    </w:p>
    <w:p>
      <w:pPr>
        <w:pStyle w:val="27"/>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7"/>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sz w:val="28"/>
          <w:szCs w:val="28"/>
        </w:rPr>
      </w:pPr>
      <w:bookmarkStart w:id="117" w:name="_Toc20823299"/>
      <w:bookmarkStart w:id="118" w:name="_Toc16938543"/>
      <w:bookmarkStart w:id="119" w:name="_Toc513029227"/>
      <w:r>
        <w:rPr>
          <w:rFonts w:hint="eastAsia"/>
          <w:b/>
          <w:bCs/>
          <w:sz w:val="28"/>
          <w:szCs w:val="28"/>
        </w:rPr>
        <w:t>20、投标文件</w:t>
      </w:r>
      <w:bookmarkEnd w:id="117"/>
      <w:bookmarkEnd w:id="118"/>
      <w:bookmarkEnd w:id="119"/>
      <w:r>
        <w:rPr>
          <w:rFonts w:hint="eastAsia"/>
          <w:b/>
          <w:bCs/>
          <w:sz w:val="28"/>
          <w:szCs w:val="28"/>
        </w:rPr>
        <w:t>的递交</w:t>
      </w:r>
    </w:p>
    <w:p>
      <w:pPr>
        <w:pStyle w:val="27"/>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7"/>
        <w:rPr>
          <w:bCs/>
          <w:sz w:val="28"/>
          <w:szCs w:val="28"/>
        </w:rPr>
      </w:pPr>
      <w:r>
        <w:rPr>
          <w:rFonts w:hint="eastAsia"/>
          <w:bCs/>
          <w:sz w:val="28"/>
          <w:szCs w:val="28"/>
        </w:rPr>
        <w:t>20.2未按照招标文件要求的格式编制的投标文件，后果由投标人承担。</w:t>
      </w:r>
    </w:p>
    <w:p>
      <w:pPr>
        <w:pStyle w:val="27"/>
        <w:rPr>
          <w:b/>
          <w:bCs/>
          <w:sz w:val="28"/>
          <w:szCs w:val="28"/>
        </w:rPr>
      </w:pPr>
      <w:bookmarkStart w:id="120" w:name="_Toc16938544"/>
      <w:bookmarkStart w:id="121" w:name="_Toc513029228"/>
      <w:bookmarkStart w:id="122" w:name="_Toc20823300"/>
      <w:r>
        <w:rPr>
          <w:rFonts w:hint="eastAsia"/>
          <w:b/>
          <w:bCs/>
          <w:sz w:val="28"/>
          <w:szCs w:val="28"/>
        </w:rPr>
        <w:t>21、投标文件的修改和撤回</w:t>
      </w:r>
      <w:bookmarkEnd w:id="120"/>
      <w:bookmarkEnd w:id="121"/>
      <w:bookmarkEnd w:id="122"/>
    </w:p>
    <w:p>
      <w:pPr>
        <w:pStyle w:val="27"/>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7"/>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7"/>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7"/>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7"/>
        <w:rPr>
          <w:b/>
          <w:sz w:val="28"/>
          <w:szCs w:val="28"/>
        </w:rPr>
      </w:pPr>
      <w:bookmarkStart w:id="123" w:name="_Toc120614218"/>
      <w:bookmarkStart w:id="124" w:name="_Toc16938545"/>
      <w:bookmarkStart w:id="125" w:name="_Toc517190886"/>
      <w:bookmarkStart w:id="126" w:name="_Toc513029229"/>
      <w:bookmarkStart w:id="127" w:name="_Toc20823301"/>
      <w:r>
        <w:rPr>
          <w:rFonts w:hint="eastAsia"/>
          <w:b/>
          <w:sz w:val="28"/>
          <w:szCs w:val="28"/>
        </w:rPr>
        <w:t>五、开标与评标</w:t>
      </w:r>
      <w:bookmarkEnd w:id="123"/>
      <w:bookmarkEnd w:id="124"/>
      <w:bookmarkEnd w:id="125"/>
      <w:bookmarkEnd w:id="126"/>
      <w:bookmarkEnd w:id="127"/>
    </w:p>
    <w:p>
      <w:pPr>
        <w:pStyle w:val="27"/>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7"/>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7"/>
        <w:rPr>
          <w:bCs/>
          <w:sz w:val="28"/>
          <w:szCs w:val="28"/>
        </w:rPr>
      </w:pPr>
      <w:r>
        <w:rPr>
          <w:rFonts w:hint="eastAsia"/>
          <w:sz w:val="28"/>
          <w:szCs w:val="28"/>
        </w:rPr>
        <w:t>22.2</w:t>
      </w:r>
      <w:r>
        <w:rPr>
          <w:rFonts w:hint="eastAsia"/>
          <w:bCs/>
          <w:sz w:val="28"/>
          <w:szCs w:val="28"/>
        </w:rPr>
        <w:t>按照规定同意撤回的投标将不予开封。</w:t>
      </w:r>
    </w:p>
    <w:p>
      <w:pPr>
        <w:pStyle w:val="27"/>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7"/>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7"/>
        <w:rPr>
          <w:sz w:val="28"/>
          <w:szCs w:val="28"/>
        </w:rPr>
      </w:pPr>
      <w:r>
        <w:rPr>
          <w:sz w:val="28"/>
          <w:szCs w:val="28"/>
        </w:rPr>
        <w:t>2</w:t>
      </w:r>
      <w:r>
        <w:rPr>
          <w:rFonts w:hint="eastAsia"/>
          <w:sz w:val="28"/>
          <w:szCs w:val="28"/>
        </w:rPr>
        <w:t>2.5投标人在报价时不允许采用选择性报价，否则将被视为无效投标。</w:t>
      </w:r>
    </w:p>
    <w:p>
      <w:pPr>
        <w:pStyle w:val="27"/>
        <w:rPr>
          <w:bCs/>
          <w:sz w:val="28"/>
          <w:szCs w:val="28"/>
        </w:rPr>
      </w:pPr>
      <w:r>
        <w:rPr>
          <w:rFonts w:hint="eastAsia"/>
          <w:bCs/>
          <w:sz w:val="28"/>
          <w:szCs w:val="28"/>
        </w:rPr>
        <w:t>22.6投标截止时间结束后参加投标的供应商不足三家的，不得开标。</w:t>
      </w:r>
    </w:p>
    <w:p>
      <w:pPr>
        <w:pStyle w:val="27"/>
        <w:rPr>
          <w:b/>
          <w:bCs/>
          <w:sz w:val="28"/>
          <w:szCs w:val="28"/>
        </w:rPr>
      </w:pPr>
      <w:bookmarkStart w:id="131" w:name="_Toc16938547"/>
      <w:bookmarkStart w:id="132" w:name="_Toc20823303"/>
      <w:bookmarkStart w:id="133" w:name="_Toc513029231"/>
      <w:r>
        <w:rPr>
          <w:rFonts w:hint="eastAsia"/>
          <w:b/>
          <w:bCs/>
          <w:sz w:val="28"/>
          <w:szCs w:val="28"/>
        </w:rPr>
        <w:t>23、评标</w:t>
      </w:r>
    </w:p>
    <w:p>
      <w:pPr>
        <w:pStyle w:val="27"/>
        <w:rPr>
          <w:b/>
          <w:sz w:val="28"/>
          <w:szCs w:val="28"/>
        </w:rPr>
      </w:pPr>
      <w:r>
        <w:rPr>
          <w:rFonts w:hint="eastAsia"/>
          <w:sz w:val="28"/>
          <w:szCs w:val="28"/>
        </w:rPr>
        <w:t>23.1开标后，采购人将组织评标委员会（以下简称评委会）进行评标。</w:t>
      </w:r>
    </w:p>
    <w:p>
      <w:pPr>
        <w:pStyle w:val="27"/>
        <w:ind w:left="330" w:leftChars="150" w:firstLine="140" w:firstLineChars="50"/>
        <w:rPr>
          <w:sz w:val="28"/>
          <w:szCs w:val="28"/>
        </w:rPr>
      </w:pPr>
      <w:r>
        <w:rPr>
          <w:rFonts w:hint="eastAsia"/>
          <w:sz w:val="28"/>
          <w:szCs w:val="28"/>
        </w:rPr>
        <w:t>23.2评委会独立工作，负责评审所有投标文件并确定中标侯选人。</w:t>
      </w:r>
    </w:p>
    <w:p>
      <w:pPr>
        <w:pStyle w:val="27"/>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7"/>
        <w:rPr>
          <w:b/>
          <w:bCs/>
          <w:sz w:val="28"/>
          <w:szCs w:val="28"/>
        </w:rPr>
      </w:pPr>
      <w:bookmarkStart w:id="134" w:name="_Toc16938548"/>
      <w:bookmarkStart w:id="135" w:name="_Toc20823304"/>
      <w:bookmarkStart w:id="136" w:name="_Toc513029232"/>
      <w:r>
        <w:rPr>
          <w:rFonts w:hint="eastAsia"/>
          <w:b/>
          <w:bCs/>
          <w:sz w:val="28"/>
          <w:szCs w:val="28"/>
        </w:rPr>
        <w:t>24．投标的澄清</w:t>
      </w:r>
      <w:bookmarkEnd w:id="134"/>
      <w:bookmarkEnd w:id="135"/>
      <w:bookmarkEnd w:id="136"/>
    </w:p>
    <w:p>
      <w:pPr>
        <w:pStyle w:val="27"/>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7"/>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sz w:val="28"/>
          <w:szCs w:val="28"/>
        </w:rPr>
      </w:pPr>
      <w:r>
        <w:rPr>
          <w:rFonts w:hint="eastAsia"/>
          <w:sz w:val="28"/>
          <w:szCs w:val="28"/>
        </w:rPr>
        <w:t>24.3 接到评委会澄清要求的投标人如未按规定做出澄清，后果由投标人自行承担。</w:t>
      </w:r>
    </w:p>
    <w:p>
      <w:pPr>
        <w:pStyle w:val="27"/>
        <w:rPr>
          <w:b/>
          <w:bCs/>
          <w:sz w:val="28"/>
          <w:szCs w:val="28"/>
        </w:rPr>
      </w:pPr>
      <w:bookmarkStart w:id="137" w:name="_Toc16938550"/>
      <w:bookmarkStart w:id="138" w:name="_Toc20823306"/>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7"/>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7"/>
        <w:rPr>
          <w:bCs/>
          <w:sz w:val="28"/>
          <w:szCs w:val="28"/>
        </w:rPr>
      </w:pPr>
      <w:r>
        <w:rPr>
          <w:rFonts w:hint="eastAsia"/>
          <w:bCs/>
          <w:sz w:val="28"/>
          <w:szCs w:val="28"/>
        </w:rPr>
        <w:t>（1）未按要求交纳投标保证金的。</w:t>
      </w:r>
    </w:p>
    <w:p>
      <w:pPr>
        <w:pStyle w:val="27"/>
        <w:rPr>
          <w:bCs/>
          <w:sz w:val="28"/>
          <w:szCs w:val="28"/>
        </w:rPr>
      </w:pPr>
      <w:r>
        <w:rPr>
          <w:rFonts w:hint="eastAsia"/>
          <w:bCs/>
          <w:sz w:val="28"/>
          <w:szCs w:val="28"/>
        </w:rPr>
        <w:t>（2）未按照招标文件规定要求密封、签署、盖章的。</w:t>
      </w:r>
    </w:p>
    <w:p>
      <w:pPr>
        <w:pStyle w:val="27"/>
        <w:rPr>
          <w:bCs/>
          <w:sz w:val="28"/>
          <w:szCs w:val="28"/>
        </w:rPr>
      </w:pPr>
      <w:r>
        <w:rPr>
          <w:rFonts w:hint="eastAsia"/>
          <w:bCs/>
          <w:sz w:val="28"/>
          <w:szCs w:val="28"/>
        </w:rPr>
        <w:t>（3）投标人在报价时采用选择性报价的。</w:t>
      </w:r>
    </w:p>
    <w:p>
      <w:pPr>
        <w:pStyle w:val="27"/>
        <w:rPr>
          <w:bCs/>
          <w:sz w:val="28"/>
          <w:szCs w:val="28"/>
        </w:rPr>
      </w:pPr>
      <w:r>
        <w:rPr>
          <w:rFonts w:hint="eastAsia"/>
          <w:bCs/>
          <w:sz w:val="28"/>
          <w:szCs w:val="28"/>
        </w:rPr>
        <w:t>（4）投标人不具备招标文件中规定资格要求的。</w:t>
      </w:r>
    </w:p>
    <w:p>
      <w:pPr>
        <w:pStyle w:val="27"/>
        <w:rPr>
          <w:bCs/>
          <w:sz w:val="28"/>
          <w:szCs w:val="28"/>
        </w:rPr>
      </w:pPr>
      <w:r>
        <w:rPr>
          <w:rFonts w:hint="eastAsia"/>
          <w:bCs/>
          <w:sz w:val="28"/>
          <w:szCs w:val="28"/>
        </w:rPr>
        <w:t>（5）投标人的报价超过了采购预算或最高限价的。</w:t>
      </w:r>
    </w:p>
    <w:p>
      <w:pPr>
        <w:pStyle w:val="27"/>
        <w:rPr>
          <w:bCs/>
          <w:i/>
          <w:sz w:val="28"/>
          <w:szCs w:val="28"/>
          <w:u w:val="single"/>
        </w:rPr>
      </w:pPr>
      <w:r>
        <w:rPr>
          <w:rFonts w:hint="eastAsia"/>
          <w:bCs/>
          <w:sz w:val="28"/>
          <w:szCs w:val="28"/>
        </w:rPr>
        <w:t>（6）未通过符合性检查的。</w:t>
      </w:r>
    </w:p>
    <w:p>
      <w:pPr>
        <w:pStyle w:val="27"/>
        <w:rPr>
          <w:bCs/>
          <w:i/>
          <w:sz w:val="28"/>
          <w:szCs w:val="28"/>
          <w:u w:val="single"/>
        </w:rPr>
      </w:pPr>
      <w:r>
        <w:rPr>
          <w:rFonts w:hint="eastAsia"/>
          <w:bCs/>
          <w:sz w:val="28"/>
          <w:szCs w:val="28"/>
        </w:rPr>
        <w:t>（7）不符合招标文件中规定的其他实质性要求和条件的。</w:t>
      </w:r>
    </w:p>
    <w:p>
      <w:pPr>
        <w:pStyle w:val="27"/>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7"/>
        <w:rPr>
          <w:bCs/>
          <w:sz w:val="28"/>
          <w:szCs w:val="28"/>
        </w:rPr>
      </w:pPr>
      <w:r>
        <w:rPr>
          <w:rFonts w:hint="eastAsia"/>
          <w:bCs/>
          <w:sz w:val="28"/>
          <w:szCs w:val="28"/>
        </w:rPr>
        <w:t>（9）投标文件含有采购人不能接受的附加条件的。</w:t>
      </w:r>
    </w:p>
    <w:p>
      <w:pPr>
        <w:pStyle w:val="27"/>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sz w:val="28"/>
          <w:szCs w:val="28"/>
        </w:rPr>
      </w:pPr>
      <w:r>
        <w:rPr>
          <w:rFonts w:hint="eastAsia"/>
          <w:bCs/>
          <w:sz w:val="28"/>
          <w:szCs w:val="28"/>
        </w:rPr>
        <w:t>（11）其他法律、法规及本招标文件规定的属无效投标的情形。</w:t>
      </w:r>
    </w:p>
    <w:p>
      <w:pPr>
        <w:pStyle w:val="27"/>
        <w:rPr>
          <w:bCs/>
          <w:sz w:val="28"/>
          <w:szCs w:val="28"/>
        </w:rPr>
      </w:pPr>
      <w:r>
        <w:rPr>
          <w:rFonts w:hint="eastAsia"/>
          <w:bCs/>
          <w:sz w:val="28"/>
          <w:szCs w:val="28"/>
        </w:rPr>
        <w:t>25.2废标条款：</w:t>
      </w:r>
    </w:p>
    <w:p>
      <w:pPr>
        <w:pStyle w:val="27"/>
        <w:rPr>
          <w:bCs/>
          <w:sz w:val="28"/>
          <w:szCs w:val="28"/>
        </w:rPr>
      </w:pPr>
      <w:r>
        <w:rPr>
          <w:rFonts w:hint="eastAsia"/>
          <w:bCs/>
          <w:sz w:val="28"/>
          <w:szCs w:val="28"/>
        </w:rPr>
        <w:t>（1）符合专业条件的供应商或者对招标文件作实质响应的供应商不足三家的。</w:t>
      </w:r>
    </w:p>
    <w:p>
      <w:pPr>
        <w:pStyle w:val="27"/>
        <w:rPr>
          <w:bCs/>
          <w:sz w:val="28"/>
          <w:szCs w:val="28"/>
        </w:rPr>
      </w:pPr>
      <w:r>
        <w:rPr>
          <w:rFonts w:hint="eastAsia"/>
          <w:bCs/>
          <w:sz w:val="28"/>
          <w:szCs w:val="28"/>
        </w:rPr>
        <w:t>（2）出现影响采购公正的违法、违规行为的。</w:t>
      </w:r>
    </w:p>
    <w:p>
      <w:pPr>
        <w:pStyle w:val="27"/>
        <w:rPr>
          <w:bCs/>
          <w:sz w:val="28"/>
          <w:szCs w:val="28"/>
        </w:rPr>
      </w:pPr>
      <w:r>
        <w:rPr>
          <w:rFonts w:hint="eastAsia"/>
          <w:bCs/>
          <w:sz w:val="28"/>
          <w:szCs w:val="28"/>
        </w:rPr>
        <w:t>（3）因重大变故，采购任务取消的。</w:t>
      </w:r>
    </w:p>
    <w:p>
      <w:pPr>
        <w:pStyle w:val="27"/>
        <w:rPr>
          <w:bCs/>
          <w:sz w:val="28"/>
          <w:szCs w:val="28"/>
        </w:rPr>
      </w:pPr>
      <w:r>
        <w:rPr>
          <w:rFonts w:hint="eastAsia"/>
          <w:bCs/>
          <w:sz w:val="28"/>
          <w:szCs w:val="28"/>
        </w:rPr>
        <w:t>（4）评标委员会认定招标文件存在歧义、重大缺陷导致评审工作无法进行的。</w:t>
      </w:r>
    </w:p>
    <w:p>
      <w:pPr>
        <w:pStyle w:val="27"/>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7"/>
        <w:rPr>
          <w:b/>
          <w:sz w:val="28"/>
          <w:szCs w:val="28"/>
        </w:rPr>
      </w:pPr>
      <w:bookmarkStart w:id="145" w:name="_Toc513029238"/>
      <w:bookmarkStart w:id="146" w:name="_Toc16938554"/>
      <w:bookmarkStart w:id="147" w:name="_Toc20823310"/>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7"/>
        <w:rPr>
          <w:bCs/>
          <w:sz w:val="28"/>
          <w:szCs w:val="28"/>
        </w:rPr>
      </w:pPr>
      <w:r>
        <w:rPr>
          <w:rFonts w:hint="eastAsia"/>
          <w:bCs/>
          <w:sz w:val="28"/>
          <w:szCs w:val="28"/>
        </w:rPr>
        <w:t>26.1评委会根据本招标文件规定评分办法与评分标准确定中标人；</w:t>
      </w:r>
    </w:p>
    <w:p>
      <w:pPr>
        <w:pStyle w:val="27"/>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7"/>
        <w:rPr>
          <w:sz w:val="28"/>
          <w:szCs w:val="28"/>
        </w:rPr>
      </w:pPr>
      <w:r>
        <w:rPr>
          <w:rFonts w:hint="eastAsia"/>
          <w:sz w:val="28"/>
          <w:szCs w:val="28"/>
        </w:rPr>
        <w:t>2</w:t>
      </w:r>
      <w:bookmarkStart w:id="148" w:name="OLE_LINK6"/>
      <w:bookmarkStart w:id="149" w:name="OLE_LINK8"/>
      <w:bookmarkStart w:id="150" w:name="OLE_LINK3"/>
      <w:bookmarkStart w:id="151" w:name="OLE_LINK5"/>
      <w:bookmarkStart w:id="152" w:name="OLE_LINK7"/>
      <w:bookmarkStart w:id="153" w:name="OLE_LINK4"/>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7"/>
        <w:rPr>
          <w:sz w:val="28"/>
          <w:szCs w:val="28"/>
        </w:rPr>
      </w:pPr>
      <w:r>
        <w:rPr>
          <w:rFonts w:hint="eastAsia"/>
          <w:sz w:val="28"/>
          <w:szCs w:val="28"/>
        </w:rPr>
        <w:t>（1）提供虚假材料谋取中标的；</w:t>
      </w:r>
    </w:p>
    <w:p>
      <w:pPr>
        <w:pStyle w:val="27"/>
        <w:rPr>
          <w:sz w:val="28"/>
          <w:szCs w:val="28"/>
        </w:rPr>
      </w:pPr>
      <w:r>
        <w:rPr>
          <w:rFonts w:hint="eastAsia"/>
          <w:sz w:val="28"/>
          <w:szCs w:val="28"/>
        </w:rPr>
        <w:t>（2）向采购人、评审专家行贿或者提供其他不正当利益的；</w:t>
      </w:r>
    </w:p>
    <w:p>
      <w:pPr>
        <w:pStyle w:val="27"/>
        <w:rPr>
          <w:sz w:val="28"/>
          <w:szCs w:val="28"/>
        </w:rPr>
      </w:pPr>
      <w:r>
        <w:rPr>
          <w:rFonts w:hint="eastAsia"/>
          <w:sz w:val="28"/>
          <w:szCs w:val="28"/>
        </w:rPr>
        <w:t>（3）恶意竞争，投标总报价明显低于其自身合理成本且又无法提供证明的；</w:t>
      </w:r>
    </w:p>
    <w:p>
      <w:pPr>
        <w:pStyle w:val="27"/>
        <w:rPr>
          <w:sz w:val="28"/>
          <w:szCs w:val="28"/>
        </w:rPr>
      </w:pPr>
      <w:r>
        <w:rPr>
          <w:rFonts w:hint="eastAsia"/>
          <w:sz w:val="28"/>
          <w:szCs w:val="28"/>
        </w:rPr>
        <w:t>（4）属于本文件规定的无效条件，但在评标过程中又未被评委会发现的；</w:t>
      </w:r>
    </w:p>
    <w:p>
      <w:pPr>
        <w:pStyle w:val="27"/>
        <w:rPr>
          <w:sz w:val="28"/>
          <w:szCs w:val="28"/>
        </w:rPr>
      </w:pPr>
      <w:r>
        <w:rPr>
          <w:rFonts w:hint="eastAsia"/>
          <w:sz w:val="28"/>
          <w:szCs w:val="28"/>
        </w:rPr>
        <w:t>（5）与采购人或者其他供应商恶意串通的；</w:t>
      </w:r>
    </w:p>
    <w:p>
      <w:pPr>
        <w:pStyle w:val="27"/>
        <w:rPr>
          <w:sz w:val="28"/>
          <w:szCs w:val="28"/>
        </w:rPr>
      </w:pPr>
      <w:r>
        <w:rPr>
          <w:rFonts w:hint="eastAsia"/>
          <w:sz w:val="28"/>
          <w:szCs w:val="28"/>
        </w:rPr>
        <w:t>（6）采取不正当手段诋毁、排挤其他供应商的；</w:t>
      </w:r>
    </w:p>
    <w:p>
      <w:pPr>
        <w:pStyle w:val="27"/>
        <w:rPr>
          <w:sz w:val="28"/>
          <w:szCs w:val="28"/>
        </w:rPr>
      </w:pPr>
      <w:r>
        <w:rPr>
          <w:rFonts w:hint="eastAsia"/>
          <w:sz w:val="28"/>
          <w:szCs w:val="28"/>
        </w:rPr>
        <w:t>（7）不符合法律、法规的规定的。</w:t>
      </w:r>
      <w:bookmarkStart w:id="154" w:name="_Toc200451960"/>
    </w:p>
    <w:p>
      <w:pPr>
        <w:pStyle w:val="27"/>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7"/>
        <w:rPr>
          <w:sz w:val="28"/>
          <w:szCs w:val="28"/>
        </w:rPr>
      </w:pPr>
      <w:r>
        <w:rPr>
          <w:rFonts w:hint="eastAsia"/>
          <w:sz w:val="28"/>
          <w:szCs w:val="28"/>
        </w:rPr>
        <w:t>（1）不同投标人的投标文件由同一单位或者个人编制；</w:t>
      </w:r>
    </w:p>
    <w:p>
      <w:pPr>
        <w:pStyle w:val="27"/>
        <w:rPr>
          <w:sz w:val="28"/>
          <w:szCs w:val="28"/>
        </w:rPr>
      </w:pPr>
      <w:r>
        <w:rPr>
          <w:rFonts w:hint="eastAsia"/>
          <w:sz w:val="28"/>
          <w:szCs w:val="28"/>
        </w:rPr>
        <w:t>（2）不同投标人委托同一单位或者个人办理投标事宜；</w:t>
      </w:r>
    </w:p>
    <w:p>
      <w:pPr>
        <w:pStyle w:val="27"/>
        <w:rPr>
          <w:sz w:val="28"/>
          <w:szCs w:val="28"/>
        </w:rPr>
      </w:pPr>
      <w:r>
        <w:rPr>
          <w:rFonts w:hint="eastAsia"/>
          <w:sz w:val="28"/>
          <w:szCs w:val="28"/>
        </w:rPr>
        <w:t>（3）不同投标人的投标文件载明的项目管理成员或者联系人员为同一人；</w:t>
      </w:r>
    </w:p>
    <w:p>
      <w:pPr>
        <w:pStyle w:val="27"/>
        <w:rPr>
          <w:sz w:val="28"/>
          <w:szCs w:val="28"/>
        </w:rPr>
      </w:pPr>
      <w:r>
        <w:rPr>
          <w:rFonts w:hint="eastAsia"/>
          <w:sz w:val="28"/>
          <w:szCs w:val="28"/>
        </w:rPr>
        <w:t>（4）不同投标人的投标文件异常一致或者投标报价呈规律性差异；</w:t>
      </w:r>
    </w:p>
    <w:p>
      <w:pPr>
        <w:pStyle w:val="27"/>
        <w:rPr>
          <w:sz w:val="28"/>
          <w:szCs w:val="28"/>
        </w:rPr>
      </w:pPr>
      <w:r>
        <w:rPr>
          <w:rFonts w:hint="eastAsia"/>
          <w:sz w:val="28"/>
          <w:szCs w:val="28"/>
        </w:rPr>
        <w:t>（5）不同投标人的投标文件相互混装；</w:t>
      </w:r>
    </w:p>
    <w:p>
      <w:pPr>
        <w:pStyle w:val="27"/>
        <w:rPr>
          <w:sz w:val="28"/>
          <w:szCs w:val="28"/>
        </w:rPr>
      </w:pPr>
      <w:r>
        <w:rPr>
          <w:rFonts w:hint="eastAsia"/>
          <w:sz w:val="28"/>
          <w:szCs w:val="28"/>
        </w:rPr>
        <w:t>（6）不同投标人的投标保证金从同一单位或者个人的账户转出。</w:t>
      </w:r>
    </w:p>
    <w:p>
      <w:pPr>
        <w:pStyle w:val="27"/>
        <w:rPr>
          <w:b/>
          <w:sz w:val="28"/>
          <w:szCs w:val="28"/>
        </w:rPr>
      </w:pPr>
      <w:r>
        <w:rPr>
          <w:rFonts w:hint="eastAsia"/>
          <w:b/>
          <w:sz w:val="28"/>
          <w:szCs w:val="28"/>
        </w:rPr>
        <w:t>27、质疑处理</w:t>
      </w:r>
      <w:bookmarkEnd w:id="154"/>
    </w:p>
    <w:p>
      <w:pPr>
        <w:pStyle w:val="27"/>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7"/>
        <w:rPr>
          <w:b/>
          <w:sz w:val="28"/>
          <w:szCs w:val="28"/>
        </w:rPr>
      </w:pPr>
      <w:r>
        <w:rPr>
          <w:rFonts w:hint="eastAsia"/>
          <w:b/>
          <w:sz w:val="28"/>
          <w:szCs w:val="28"/>
        </w:rPr>
        <w:t>28、中标通知书</w:t>
      </w:r>
    </w:p>
    <w:p>
      <w:pPr>
        <w:pStyle w:val="27"/>
        <w:rPr>
          <w:sz w:val="28"/>
          <w:szCs w:val="28"/>
        </w:rPr>
      </w:pPr>
      <w:r>
        <w:rPr>
          <w:rFonts w:hint="eastAsia"/>
          <w:sz w:val="28"/>
          <w:szCs w:val="28"/>
        </w:rPr>
        <w:t>28.1中标结果确定后，采购人将向中标供应商发出中标通知书。</w:t>
      </w:r>
    </w:p>
    <w:p>
      <w:pPr>
        <w:pStyle w:val="27"/>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7"/>
        <w:rPr>
          <w:b/>
          <w:sz w:val="28"/>
          <w:szCs w:val="28"/>
        </w:rPr>
      </w:pPr>
      <w:bookmarkStart w:id="155" w:name="_Toc120614220"/>
      <w:bookmarkStart w:id="156" w:name="_Toc517190888"/>
      <w:bookmarkStart w:id="157" w:name="_Toc513029236"/>
      <w:bookmarkStart w:id="158" w:name="_Toc20823308"/>
      <w:bookmarkStart w:id="159" w:name="_Toc16938552"/>
      <w:r>
        <w:rPr>
          <w:rFonts w:hint="eastAsia"/>
          <w:b/>
          <w:sz w:val="28"/>
          <w:szCs w:val="28"/>
        </w:rPr>
        <w:t>七、授予合同</w:t>
      </w:r>
      <w:bookmarkEnd w:id="155"/>
      <w:bookmarkEnd w:id="156"/>
    </w:p>
    <w:bookmarkEnd w:id="157"/>
    <w:bookmarkEnd w:id="158"/>
    <w:bookmarkEnd w:id="159"/>
    <w:p>
      <w:pPr>
        <w:pStyle w:val="27"/>
        <w:rPr>
          <w:b/>
          <w:sz w:val="28"/>
          <w:szCs w:val="28"/>
        </w:rPr>
      </w:pPr>
      <w:bookmarkStart w:id="160" w:name="_Toc20823309"/>
      <w:bookmarkStart w:id="161" w:name="_Toc513029237"/>
      <w:bookmarkStart w:id="162" w:name="_Toc16938553"/>
      <w:r>
        <w:rPr>
          <w:rFonts w:hint="eastAsia"/>
          <w:b/>
          <w:sz w:val="28"/>
          <w:szCs w:val="28"/>
        </w:rPr>
        <w:t>29. 签订合同</w:t>
      </w:r>
    </w:p>
    <w:p>
      <w:pPr>
        <w:pStyle w:val="27"/>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sz w:val="28"/>
          <w:szCs w:val="28"/>
        </w:rPr>
      </w:pPr>
      <w:r>
        <w:rPr>
          <w:rFonts w:hint="eastAsia"/>
          <w:sz w:val="28"/>
          <w:szCs w:val="28"/>
        </w:rPr>
        <w:t>29.2招标文件、中标人的投标文件及招标过程中有关澄清、承诺文件均应作为合同附件。</w:t>
      </w:r>
    </w:p>
    <w:p>
      <w:pPr>
        <w:pStyle w:val="27"/>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7"/>
        <w:rPr>
          <w:b/>
          <w:sz w:val="28"/>
          <w:szCs w:val="28"/>
        </w:rPr>
      </w:pPr>
      <w:bookmarkStart w:id="163" w:name="_Toc517190889"/>
      <w:r>
        <w:rPr>
          <w:rFonts w:hint="eastAsia"/>
          <w:b/>
          <w:sz w:val="28"/>
          <w:szCs w:val="28"/>
        </w:rPr>
        <w:t>八、其他</w:t>
      </w:r>
      <w:bookmarkEnd w:id="163"/>
    </w:p>
    <w:p>
      <w:pPr>
        <w:pStyle w:val="27"/>
        <w:rPr>
          <w:b/>
          <w:sz w:val="28"/>
          <w:szCs w:val="28"/>
        </w:rPr>
      </w:pPr>
      <w:r>
        <w:rPr>
          <w:rFonts w:hint="eastAsia"/>
          <w:b/>
          <w:sz w:val="28"/>
          <w:szCs w:val="28"/>
        </w:rPr>
        <w:t>30、样品</w:t>
      </w:r>
    </w:p>
    <w:p>
      <w:pPr>
        <w:pStyle w:val="27"/>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7"/>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3"/>
        <w:spacing w:line="360" w:lineRule="auto"/>
        <w:ind w:firstLine="440"/>
        <w:rPr>
          <w:rFonts w:ascii="Times New Roman" w:hAnsi="宋体" w:cs="宋体"/>
          <w:b/>
        </w:rPr>
      </w:pPr>
    </w:p>
    <w:p>
      <w:pPr>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一、技术参数：</w:t>
      </w:r>
    </w:p>
    <w:p>
      <w:pPr>
        <w:pStyle w:val="27"/>
        <w:rPr>
          <w:bCs/>
          <w:sz w:val="28"/>
          <w:szCs w:val="28"/>
        </w:rPr>
      </w:pPr>
      <w:r>
        <w:rPr>
          <w:rFonts w:hint="eastAsia"/>
          <w:bCs/>
          <w:sz w:val="28"/>
          <w:szCs w:val="28"/>
        </w:rPr>
        <w:t>1、用途：适用于实验动物中心、实验室等单位对密封空间及生物安全柜、隔离器等设备密闭舱体内的空气和物品表面进行彻底的消毒或灭菌；</w:t>
      </w:r>
    </w:p>
    <w:p>
      <w:pPr>
        <w:pStyle w:val="27"/>
        <w:ind w:firstLine="280" w:firstLineChars="100"/>
        <w:rPr>
          <w:bCs/>
          <w:sz w:val="28"/>
          <w:szCs w:val="28"/>
        </w:rPr>
      </w:pPr>
      <w:r>
        <w:rPr>
          <w:rFonts w:hint="eastAsia"/>
          <w:bCs/>
          <w:sz w:val="28"/>
          <w:szCs w:val="28"/>
        </w:rPr>
        <w:t>★2、消毒原理：闪蒸式汽化过氧化氢（为肉眼不可见之气体，非可见汽态）；</w:t>
      </w:r>
    </w:p>
    <w:p>
      <w:pPr>
        <w:pStyle w:val="27"/>
        <w:ind w:firstLine="280" w:firstLineChars="100"/>
        <w:rPr>
          <w:bCs/>
          <w:sz w:val="28"/>
          <w:szCs w:val="28"/>
        </w:rPr>
      </w:pPr>
      <w:r>
        <w:rPr>
          <w:rFonts w:hint="eastAsia"/>
          <w:bCs/>
          <w:sz w:val="28"/>
          <w:szCs w:val="28"/>
        </w:rPr>
        <w:t>★3、功能及要求：带有房间消毒程序、小空间消毒程序及IVC笼架消毒程序等，可满足200m³以上的空间消毒；同时具有外接管道，可将过氧化氢气体，通过管道对接到隔离包、生物安全柜、以及人员无法进入的小空间进行消毒灭菌。</w:t>
      </w:r>
    </w:p>
    <w:p>
      <w:pPr>
        <w:pStyle w:val="27"/>
        <w:ind w:firstLine="280" w:firstLineChars="100"/>
        <w:rPr>
          <w:bCs/>
          <w:sz w:val="28"/>
          <w:szCs w:val="28"/>
        </w:rPr>
      </w:pPr>
      <w:r>
        <w:rPr>
          <w:rFonts w:hint="eastAsia"/>
          <w:bCs/>
          <w:sz w:val="28"/>
          <w:szCs w:val="28"/>
        </w:rPr>
        <w:t>★4、设备主要材质：一体成型吸塑外壳或金属外壳，高密度防腐涂层；304不锈钢支架，能够有效防腐蚀和外力损坏；</w:t>
      </w:r>
    </w:p>
    <w:p>
      <w:pPr>
        <w:pStyle w:val="27"/>
        <w:rPr>
          <w:bCs/>
          <w:sz w:val="28"/>
          <w:szCs w:val="28"/>
        </w:rPr>
      </w:pPr>
      <w:r>
        <w:rPr>
          <w:rFonts w:hint="eastAsia"/>
          <w:bCs/>
          <w:sz w:val="28"/>
          <w:szCs w:val="28"/>
        </w:rPr>
        <w:t>5、工作温度：20℃～35℃，湿度：20-80%；</w:t>
      </w:r>
    </w:p>
    <w:p>
      <w:pPr>
        <w:pStyle w:val="27"/>
        <w:ind w:firstLine="280" w:firstLineChars="100"/>
        <w:rPr>
          <w:bCs/>
          <w:sz w:val="28"/>
          <w:szCs w:val="28"/>
        </w:rPr>
      </w:pPr>
      <w:r>
        <w:rPr>
          <w:rFonts w:hint="eastAsia"/>
          <w:bCs/>
          <w:sz w:val="28"/>
          <w:szCs w:val="28"/>
        </w:rPr>
        <w:t>★6、操作方式：平板电脑远程无线操作或具有延时启动功能，保证使用安全；</w:t>
      </w:r>
    </w:p>
    <w:p>
      <w:pPr>
        <w:pStyle w:val="27"/>
        <w:rPr>
          <w:bCs/>
          <w:sz w:val="28"/>
          <w:szCs w:val="28"/>
        </w:rPr>
      </w:pPr>
      <w:r>
        <w:rPr>
          <w:rFonts w:hint="eastAsia"/>
          <w:bCs/>
          <w:sz w:val="28"/>
          <w:szCs w:val="28"/>
        </w:rPr>
        <w:t>7、管道出口温度：≤55℃；噪音：≤65分贝；</w:t>
      </w:r>
    </w:p>
    <w:p>
      <w:pPr>
        <w:pStyle w:val="27"/>
        <w:rPr>
          <w:bCs/>
          <w:sz w:val="28"/>
          <w:szCs w:val="28"/>
        </w:rPr>
      </w:pPr>
      <w:r>
        <w:rPr>
          <w:rFonts w:hint="eastAsia"/>
          <w:bCs/>
          <w:sz w:val="28"/>
          <w:szCs w:val="28"/>
        </w:rPr>
        <w:t>8、H</w:t>
      </w:r>
      <w:r>
        <w:rPr>
          <w:rFonts w:hint="eastAsia"/>
          <w:bCs/>
          <w:sz w:val="28"/>
          <w:szCs w:val="28"/>
          <w:vertAlign w:val="superscript"/>
        </w:rPr>
        <w:t>2</w:t>
      </w:r>
      <w:r>
        <w:rPr>
          <w:rFonts w:hint="eastAsia"/>
          <w:bCs/>
          <w:sz w:val="28"/>
          <w:szCs w:val="28"/>
        </w:rPr>
        <w:t>O</w:t>
      </w:r>
      <w:r>
        <w:rPr>
          <w:rFonts w:hint="eastAsia"/>
          <w:bCs/>
          <w:sz w:val="28"/>
          <w:szCs w:val="28"/>
          <w:vertAlign w:val="superscript"/>
        </w:rPr>
        <w:t>2</w:t>
      </w:r>
      <w:r>
        <w:rPr>
          <w:rFonts w:hint="eastAsia"/>
          <w:bCs/>
          <w:sz w:val="28"/>
          <w:szCs w:val="28"/>
        </w:rPr>
        <w:t>储存量：≥2L；H</w:t>
      </w:r>
      <w:r>
        <w:rPr>
          <w:rFonts w:hint="eastAsia"/>
          <w:bCs/>
          <w:sz w:val="28"/>
          <w:szCs w:val="28"/>
          <w:vertAlign w:val="superscript"/>
        </w:rPr>
        <w:t>2</w:t>
      </w:r>
      <w:r>
        <w:rPr>
          <w:rFonts w:hint="eastAsia"/>
          <w:bCs/>
          <w:sz w:val="28"/>
          <w:szCs w:val="28"/>
        </w:rPr>
        <w:t>O</w:t>
      </w:r>
      <w:r>
        <w:rPr>
          <w:rFonts w:hint="eastAsia"/>
          <w:bCs/>
          <w:sz w:val="28"/>
          <w:szCs w:val="28"/>
          <w:vertAlign w:val="superscript"/>
        </w:rPr>
        <w:t>2</w:t>
      </w:r>
      <w:r>
        <w:rPr>
          <w:rFonts w:hint="eastAsia"/>
          <w:bCs/>
          <w:sz w:val="28"/>
          <w:szCs w:val="28"/>
        </w:rPr>
        <w:t>浓度：8-35％；</w:t>
      </w:r>
    </w:p>
    <w:p>
      <w:pPr>
        <w:pStyle w:val="27"/>
        <w:rPr>
          <w:bCs/>
          <w:sz w:val="28"/>
          <w:szCs w:val="28"/>
        </w:rPr>
      </w:pPr>
      <w:r>
        <w:rPr>
          <w:rFonts w:hint="eastAsia"/>
          <w:bCs/>
          <w:sz w:val="28"/>
          <w:szCs w:val="28"/>
        </w:rPr>
        <w:t>9、电源要求 ：220VAC，50Hz，功率≤2KW；</w:t>
      </w:r>
    </w:p>
    <w:p>
      <w:pPr>
        <w:pStyle w:val="27"/>
        <w:rPr>
          <w:bCs/>
          <w:sz w:val="28"/>
          <w:szCs w:val="28"/>
        </w:rPr>
      </w:pPr>
      <w:r>
        <w:rPr>
          <w:rFonts w:hint="eastAsia"/>
          <w:bCs/>
          <w:sz w:val="28"/>
          <w:szCs w:val="28"/>
        </w:rPr>
        <w:t>10、消毒时间：≥30min；分解时间：≥120min；</w:t>
      </w:r>
    </w:p>
    <w:p>
      <w:pPr>
        <w:pStyle w:val="27"/>
        <w:rPr>
          <w:bCs/>
          <w:sz w:val="28"/>
          <w:szCs w:val="28"/>
        </w:rPr>
      </w:pPr>
      <w:r>
        <w:rPr>
          <w:rFonts w:hint="eastAsia"/>
          <w:bCs/>
          <w:sz w:val="28"/>
          <w:szCs w:val="28"/>
        </w:rPr>
        <w:t>11、记录方式：历史数据应以电子表格或曲线的形式记录在U盘内，确保数据的完整性，长期保存；</w:t>
      </w:r>
    </w:p>
    <w:p>
      <w:pPr>
        <w:pStyle w:val="27"/>
        <w:rPr>
          <w:bCs/>
          <w:sz w:val="28"/>
          <w:szCs w:val="28"/>
        </w:rPr>
      </w:pPr>
      <w:r>
        <w:rPr>
          <w:rFonts w:hint="eastAsia"/>
          <w:bCs/>
          <w:sz w:val="28"/>
          <w:szCs w:val="28"/>
        </w:rPr>
        <w:t>12、消毒水平：消亡率≥90%，提供权威部门（第三方）出具的检测报告；</w:t>
      </w:r>
    </w:p>
    <w:p>
      <w:pPr>
        <w:pStyle w:val="27"/>
        <w:rPr>
          <w:bCs/>
          <w:sz w:val="28"/>
          <w:szCs w:val="28"/>
        </w:rPr>
      </w:pPr>
      <w:r>
        <w:rPr>
          <w:rFonts w:hint="eastAsia"/>
          <w:bCs/>
          <w:sz w:val="28"/>
          <w:szCs w:val="28"/>
        </w:rPr>
        <w:t>★13、灭菌水平：达到10</w:t>
      </w:r>
      <w:r>
        <w:rPr>
          <w:rFonts w:hint="eastAsia"/>
          <w:bCs/>
          <w:sz w:val="28"/>
          <w:szCs w:val="28"/>
          <w:vertAlign w:val="superscript"/>
        </w:rPr>
        <w:t>-6</w:t>
      </w:r>
      <w:r>
        <w:rPr>
          <w:rFonts w:hint="eastAsia"/>
          <w:bCs/>
          <w:sz w:val="28"/>
          <w:szCs w:val="28"/>
        </w:rPr>
        <w:t>灭活水平，提供两年内权威部门（第三方）出具的检测报告；</w:t>
      </w:r>
    </w:p>
    <w:p>
      <w:pPr>
        <w:pStyle w:val="27"/>
        <w:rPr>
          <w:bCs/>
          <w:sz w:val="28"/>
          <w:szCs w:val="28"/>
        </w:rPr>
      </w:pPr>
      <w:r>
        <w:rPr>
          <w:rFonts w:hint="eastAsia"/>
          <w:bCs/>
          <w:sz w:val="28"/>
          <w:szCs w:val="28"/>
        </w:rPr>
        <w:t>14、过氧化氢气体浓度检测：整个消毒过程在线检测；</w:t>
      </w:r>
    </w:p>
    <w:p>
      <w:pPr>
        <w:pStyle w:val="27"/>
        <w:rPr>
          <w:bCs/>
          <w:sz w:val="28"/>
          <w:szCs w:val="28"/>
        </w:rPr>
      </w:pPr>
      <w:r>
        <w:rPr>
          <w:rFonts w:hint="eastAsia"/>
          <w:bCs/>
          <w:sz w:val="28"/>
          <w:szCs w:val="28"/>
        </w:rPr>
        <w:t>15、设备应带有过氧化氢催化分解装置，保证残余H</w:t>
      </w:r>
      <w:r>
        <w:rPr>
          <w:rFonts w:hint="eastAsia"/>
          <w:bCs/>
          <w:sz w:val="28"/>
          <w:szCs w:val="28"/>
          <w:vertAlign w:val="superscript"/>
        </w:rPr>
        <w:t>2</w:t>
      </w:r>
      <w:r>
        <w:rPr>
          <w:rFonts w:hint="eastAsia"/>
          <w:bCs/>
          <w:sz w:val="28"/>
          <w:szCs w:val="28"/>
        </w:rPr>
        <w:t>O</w:t>
      </w:r>
      <w:r>
        <w:rPr>
          <w:rFonts w:hint="eastAsia"/>
          <w:bCs/>
          <w:sz w:val="28"/>
          <w:szCs w:val="28"/>
          <w:vertAlign w:val="superscript"/>
        </w:rPr>
        <w:t>2</w:t>
      </w:r>
      <w:r>
        <w:rPr>
          <w:rFonts w:hint="eastAsia"/>
          <w:bCs/>
          <w:sz w:val="28"/>
          <w:szCs w:val="28"/>
        </w:rPr>
        <w:t>浓度：≤1ppm；</w:t>
      </w:r>
    </w:p>
    <w:p>
      <w:pPr>
        <w:pStyle w:val="27"/>
        <w:rPr>
          <w:bCs/>
          <w:sz w:val="28"/>
          <w:szCs w:val="28"/>
        </w:rPr>
      </w:pPr>
      <w:r>
        <w:rPr>
          <w:rFonts w:hint="eastAsia"/>
          <w:bCs/>
          <w:sz w:val="28"/>
          <w:szCs w:val="28"/>
        </w:rPr>
        <w:t>16、通风：选用</w:t>
      </w:r>
      <w:r>
        <w:rPr>
          <w:rFonts w:hint="eastAsia"/>
          <w:bCs/>
          <w:sz w:val="28"/>
          <w:szCs w:val="28"/>
          <w:lang w:eastAsia="zh-CN"/>
        </w:rPr>
        <w:t>适配的</w:t>
      </w:r>
      <w:r>
        <w:rPr>
          <w:rFonts w:hint="eastAsia"/>
          <w:bCs/>
          <w:sz w:val="28"/>
          <w:szCs w:val="28"/>
        </w:rPr>
        <w:t>通风风机；</w:t>
      </w:r>
    </w:p>
    <w:p>
      <w:pPr>
        <w:pStyle w:val="27"/>
        <w:rPr>
          <w:bCs/>
          <w:sz w:val="28"/>
          <w:szCs w:val="28"/>
        </w:rPr>
      </w:pPr>
      <w:r>
        <w:rPr>
          <w:rFonts w:hint="eastAsia"/>
          <w:bCs/>
          <w:sz w:val="28"/>
          <w:szCs w:val="28"/>
        </w:rPr>
        <w:t>17、灭菌效果监测：应提供过氧化氢气体专用化学指示卡和生物指示剂等耗材，监测设备的灭菌效果；</w:t>
      </w:r>
    </w:p>
    <w:p>
      <w:pPr>
        <w:pStyle w:val="27"/>
        <w:rPr>
          <w:bCs/>
          <w:sz w:val="28"/>
          <w:szCs w:val="28"/>
        </w:rPr>
      </w:pPr>
      <w:r>
        <w:rPr>
          <w:rFonts w:hint="eastAsia"/>
          <w:bCs/>
          <w:sz w:val="28"/>
          <w:szCs w:val="28"/>
        </w:rPr>
        <w:t>18、设备应集成红外测量功能，一键测量房间体积；</w:t>
      </w:r>
    </w:p>
    <w:p>
      <w:pPr>
        <w:pStyle w:val="27"/>
        <w:rPr>
          <w:bCs/>
          <w:sz w:val="28"/>
          <w:szCs w:val="28"/>
        </w:rPr>
      </w:pPr>
      <w:r>
        <w:rPr>
          <w:rFonts w:hint="eastAsia"/>
          <w:bCs/>
          <w:sz w:val="28"/>
          <w:szCs w:val="28"/>
        </w:rPr>
        <w:t>19、设备应具有房间信息记录功能，用户正常使用时只需输入相应房间编号，便可得到最近一次的消毒参数；</w:t>
      </w:r>
    </w:p>
    <w:p>
      <w:pPr>
        <w:pStyle w:val="27"/>
        <w:ind w:firstLine="280" w:firstLineChars="100"/>
        <w:rPr>
          <w:bCs/>
          <w:sz w:val="28"/>
          <w:szCs w:val="28"/>
        </w:rPr>
      </w:pPr>
      <w:r>
        <w:rPr>
          <w:rFonts w:hint="eastAsia"/>
          <w:bCs/>
          <w:sz w:val="28"/>
          <w:szCs w:val="28"/>
        </w:rPr>
        <w:t>★20、应配有过氧化氢气体浓度传感器，采用探头实时监测、控制过氧化氢气体浓度，提供实物照片证明。</w:t>
      </w:r>
    </w:p>
    <w:p>
      <w:pPr>
        <w:pStyle w:val="27"/>
        <w:rPr>
          <w:bCs/>
          <w:sz w:val="28"/>
          <w:szCs w:val="28"/>
        </w:rPr>
      </w:pPr>
      <w:r>
        <w:rPr>
          <w:rFonts w:hint="eastAsia"/>
          <w:bCs/>
          <w:sz w:val="28"/>
          <w:szCs w:val="28"/>
        </w:rPr>
        <w:t>21、手持式过氧化氢浓度检测仪：标配手持式高精度过氧化氢浓度检测仪，用于检测过氧化氢泄露以及残余量；</w:t>
      </w:r>
    </w:p>
    <w:p>
      <w:pPr>
        <w:pStyle w:val="27"/>
        <w:rPr>
          <w:bCs/>
          <w:sz w:val="28"/>
          <w:szCs w:val="28"/>
        </w:rPr>
      </w:pPr>
      <w:r>
        <w:rPr>
          <w:rFonts w:hint="eastAsia"/>
          <w:bCs/>
          <w:sz w:val="28"/>
          <w:szCs w:val="28"/>
        </w:rPr>
        <w:t>22、专利：设备应有相应的专利证明其先进性，提供相关专利证明；</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（1）保修期：整个项目免费质保期</w:t>
      </w:r>
      <w:r>
        <w:rPr>
          <w:rFonts w:cs="Times New Roman" w:asciiTheme="minorEastAsia" w:hAnsiTheme="minorEastAsia" w:eastAsiaTheme="minorEastAsia"/>
          <w:kern w:val="2"/>
          <w:sz w:val="28"/>
          <w:szCs w:val="28"/>
        </w:rPr>
        <w:t>2</w:t>
      </w:r>
      <w:r>
        <w:rPr>
          <w:rFonts w:hint="eastAsia" w:cs="Times New Roman" w:asciiTheme="minorEastAsia" w:hAnsiTheme="minorEastAsia" w:eastAsiaTheme="minorEastAsia"/>
          <w:kern w:val="2"/>
          <w:sz w:val="28"/>
          <w:szCs w:val="28"/>
        </w:rPr>
        <w:t>年，自验收合格之日起算，并提供相关承诺书。质保期内发生任何设备损坏，所需要的维修费用（包括零部件费用、维修费用）均由卖方承担（人为操作不当造成的损坏除外）。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sz w:val="28"/>
          <w:szCs w:val="28"/>
        </w:rPr>
      </w:pPr>
      <w:r>
        <w:rPr>
          <w:rFonts w:hint="eastAsia" w:cs="Times New Roman" w:asciiTheme="minorEastAsia" w:hAnsiTheme="minorEastAsia" w:eastAsiaTheme="minorEastAsia"/>
          <w:kern w:val="2"/>
          <w:sz w:val="28"/>
          <w:szCs w:val="28"/>
        </w:rPr>
        <w:t>（2）</w:t>
      </w:r>
      <w:r>
        <w:rPr>
          <w:rFonts w:hint="eastAsia"/>
          <w:sz w:val="28"/>
          <w:szCs w:val="28"/>
        </w:rPr>
        <w:t>供应商应为采购方进行人员培训，</w:t>
      </w:r>
      <w:r>
        <w:rPr>
          <w:rFonts w:hint="eastAsia" w:asciiTheme="minorEastAsia" w:hAnsiTheme="minorEastAsia" w:eastAsiaTheme="minorEastAsia"/>
          <w:sz w:val="28"/>
          <w:szCs w:val="28"/>
        </w:rPr>
        <w:t>提供每年不少于1次的设备操作培训，</w:t>
      </w:r>
      <w:r>
        <w:rPr>
          <w:rFonts w:hint="eastAsia"/>
          <w:sz w:val="28"/>
          <w:szCs w:val="28"/>
        </w:rPr>
        <w:t>对人员培训不低于</w:t>
      </w:r>
      <w:r>
        <w:rPr>
          <w:rFonts w:hint="eastAsia"/>
          <w:sz w:val="28"/>
          <w:szCs w:val="28"/>
          <w:u w:val="single"/>
        </w:rPr>
        <w:t>2</w:t>
      </w:r>
      <w:r>
        <w:rPr>
          <w:rFonts w:hint="eastAsia"/>
          <w:sz w:val="28"/>
          <w:szCs w:val="28"/>
        </w:rPr>
        <w:t>人。</w:t>
      </w:r>
    </w:p>
    <w:p>
      <w:pPr>
        <w:pStyle w:val="15"/>
        <w:spacing w:line="0" w:lineRule="atLeast"/>
        <w:ind w:left="982" w:leftChars="128" w:hanging="700" w:hangingChars="250"/>
        <w:rPr>
          <w:rFonts w:asciiTheme="minorEastAsia" w:hAnsiTheme="minorEastAsia" w:eastAsiaTheme="minorEastAsia"/>
          <w:sz w:val="28"/>
          <w:szCs w:val="28"/>
        </w:rPr>
      </w:pPr>
      <w:r>
        <w:rPr>
          <w:rFonts w:hint="eastAsia" w:asciiTheme="minorEastAsia" w:hAnsiTheme="minorEastAsia" w:eastAsiaTheme="minorEastAsia"/>
          <w:bCs/>
          <w:sz w:val="28"/>
          <w:szCs w:val="28"/>
        </w:rPr>
        <w:t>（3）售后技术服务要求：</w:t>
      </w:r>
      <w:r>
        <w:rPr>
          <w:rFonts w:hint="eastAsia" w:asciiTheme="minorEastAsia" w:hAnsiTheme="minorEastAsia" w:eastAsiaTheme="minorEastAsia"/>
          <w:sz w:val="28"/>
          <w:szCs w:val="28"/>
        </w:rPr>
        <w:t>提供详细的售后服务计划。</w:t>
      </w:r>
    </w:p>
    <w:p>
      <w:pPr>
        <w:pStyle w:val="27"/>
        <w:ind w:left="1119" w:leftChars="127" w:hanging="840" w:hangingChars="300"/>
        <w:rPr>
          <w:rFonts w:asciiTheme="minorEastAsia" w:hAnsiTheme="minorEastAsia" w:eastAsiaTheme="minorEastAsia"/>
          <w:sz w:val="28"/>
          <w:szCs w:val="28"/>
        </w:rPr>
      </w:pPr>
      <w:r>
        <w:rPr>
          <w:rFonts w:hint="eastAsia" w:cs="宋体" w:asciiTheme="minorEastAsia" w:hAnsiTheme="minorEastAsia" w:eastAsiaTheme="minorEastAsia"/>
          <w:bCs/>
          <w:sz w:val="28"/>
          <w:szCs w:val="28"/>
        </w:rPr>
        <w:t>（4）</w:t>
      </w:r>
      <w:r>
        <w:rPr>
          <w:rFonts w:hint="eastAsia"/>
          <w:bCs/>
          <w:sz w:val="28"/>
          <w:szCs w:val="28"/>
        </w:rPr>
        <w:t>提供售后工程师名单及联系方式，售后服务人员在接到电话后，6小时响应，24小时内到位，重大紧急情况3小时内应到位，及时排除故障，保障动物房安全运行。</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5" w:name="_Toc401414769"/>
      <w:r>
        <w:rPr>
          <w:rFonts w:hint="eastAsia" w:ascii="宋体" w:hAnsi="宋体" w:eastAsia="宋体" w:cs="宋体"/>
          <w:szCs w:val="21"/>
        </w:rPr>
        <w:t>货到正常运行后以15天为验收期限，中标价小于等于20万元的设备，验收期满或验收合格后付全款；中标价大于20万元的设备，验收期满或验收合格后支付到合同金额的90%，余10%尾款于正常使用一年后无息支付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bookmarkStart w:id="166" w:name="_Toc523931348"/>
    </w:p>
    <w:p/>
    <w:p/>
    <w:p/>
    <w:p/>
    <w:p/>
    <w:p/>
    <w:p/>
    <w:p/>
    <w:p/>
    <w:p>
      <w:pPr>
        <w:pStyle w:val="2"/>
        <w:keepNext w:val="0"/>
        <w:keepLines/>
        <w:spacing w:line="360" w:lineRule="auto"/>
        <w:jc w:val="both"/>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7"/>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8"/>
        <w:tblW w:w="878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1727"/>
        <w:gridCol w:w="5218"/>
        <w:gridCol w:w="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4" w:hRule="atLeast"/>
          <w:jc w:val="center"/>
        </w:trPr>
        <w:tc>
          <w:tcPr>
            <w:tcW w:w="936" w:type="dxa"/>
            <w:tcBorders>
              <w:top w:val="single" w:color="auto" w:sz="4" w:space="0"/>
              <w:left w:val="single" w:color="auto" w:sz="4" w:space="0"/>
              <w:bottom w:val="single" w:color="auto" w:sz="4" w:space="0"/>
              <w:right w:val="single" w:color="auto" w:sz="4" w:space="0"/>
            </w:tcBorders>
            <w:vAlign w:val="center"/>
          </w:tcPr>
          <w:p>
            <w:pPr>
              <w:spacing w:line="120" w:lineRule="auto"/>
              <w:jc w:val="center"/>
              <w:rPr>
                <w:rFonts w:ascii="宋体" w:hAnsi="宋体" w:eastAsia="宋体" w:cs="宋体"/>
                <w:snapToGrid w:val="0"/>
                <w:sz w:val="28"/>
                <w:szCs w:val="28"/>
              </w:rPr>
            </w:pPr>
            <w:r>
              <w:rPr>
                <w:rFonts w:hint="eastAsia" w:ascii="宋体" w:hAnsi="宋体" w:eastAsia="宋体" w:cs="宋体"/>
                <w:snapToGrid w:val="0"/>
                <w:sz w:val="28"/>
                <w:szCs w:val="28"/>
              </w:rPr>
              <w:t>序号</w:t>
            </w:r>
          </w:p>
        </w:tc>
        <w:tc>
          <w:tcPr>
            <w:tcW w:w="1727" w:type="dxa"/>
            <w:tcBorders>
              <w:top w:val="single" w:color="auto" w:sz="4" w:space="0"/>
              <w:left w:val="single" w:color="auto" w:sz="4" w:space="0"/>
              <w:bottom w:val="single" w:color="auto" w:sz="4" w:space="0"/>
              <w:right w:val="single" w:color="auto" w:sz="4" w:space="0"/>
            </w:tcBorders>
            <w:vAlign w:val="center"/>
          </w:tcPr>
          <w:p>
            <w:pPr>
              <w:spacing w:line="120" w:lineRule="auto"/>
              <w:jc w:val="center"/>
              <w:rPr>
                <w:rFonts w:ascii="宋体" w:hAnsi="宋体" w:eastAsia="宋体" w:cs="宋体"/>
                <w:snapToGrid w:val="0"/>
                <w:sz w:val="28"/>
                <w:szCs w:val="28"/>
              </w:rPr>
            </w:pPr>
            <w:r>
              <w:rPr>
                <w:rFonts w:hint="eastAsia" w:ascii="宋体" w:hAnsi="宋体" w:eastAsia="宋体" w:cs="宋体"/>
                <w:snapToGrid w:val="0"/>
                <w:sz w:val="28"/>
                <w:szCs w:val="28"/>
              </w:rPr>
              <w:t>评分项目</w:t>
            </w:r>
          </w:p>
        </w:tc>
        <w:tc>
          <w:tcPr>
            <w:tcW w:w="5218" w:type="dxa"/>
            <w:tcBorders>
              <w:top w:val="single" w:color="auto" w:sz="4" w:space="0"/>
              <w:left w:val="single" w:color="auto" w:sz="4" w:space="0"/>
              <w:bottom w:val="single" w:color="auto" w:sz="4" w:space="0"/>
              <w:right w:val="single" w:color="auto" w:sz="4" w:space="0"/>
            </w:tcBorders>
            <w:vAlign w:val="center"/>
          </w:tcPr>
          <w:p>
            <w:pPr>
              <w:spacing w:line="120" w:lineRule="auto"/>
              <w:jc w:val="center"/>
              <w:rPr>
                <w:rFonts w:ascii="宋体" w:hAnsi="宋体" w:eastAsia="宋体" w:cs="宋体"/>
                <w:snapToGrid w:val="0"/>
                <w:sz w:val="28"/>
                <w:szCs w:val="28"/>
              </w:rPr>
            </w:pPr>
            <w:r>
              <w:rPr>
                <w:rFonts w:hint="eastAsia" w:ascii="宋体" w:hAnsi="宋体" w:eastAsia="宋体" w:cs="宋体"/>
                <w:snapToGrid w:val="0"/>
                <w:sz w:val="28"/>
                <w:szCs w:val="28"/>
              </w:rPr>
              <w:t>评分标准</w:t>
            </w:r>
          </w:p>
        </w:tc>
        <w:tc>
          <w:tcPr>
            <w:tcW w:w="903" w:type="dxa"/>
            <w:tcBorders>
              <w:top w:val="single" w:color="auto" w:sz="4" w:space="0"/>
              <w:left w:val="single" w:color="auto" w:sz="4" w:space="0"/>
              <w:bottom w:val="single" w:color="auto" w:sz="4" w:space="0"/>
              <w:right w:val="single" w:color="auto" w:sz="4" w:space="0"/>
            </w:tcBorders>
            <w:vAlign w:val="center"/>
          </w:tcPr>
          <w:p>
            <w:pPr>
              <w:spacing w:line="120" w:lineRule="auto"/>
              <w:jc w:val="center"/>
              <w:rPr>
                <w:rFonts w:ascii="宋体" w:hAnsi="宋体" w:eastAsia="宋体" w:cs="宋体"/>
                <w:snapToGrid w:val="0"/>
                <w:sz w:val="28"/>
                <w:szCs w:val="28"/>
              </w:rPr>
            </w:pPr>
            <w:r>
              <w:rPr>
                <w:rFonts w:hint="eastAsia" w:ascii="宋体" w:hAnsi="宋体" w:eastAsia="宋体" w:cs="宋体"/>
                <w:snapToGrid w:val="0"/>
                <w:sz w:val="28"/>
                <w:szCs w:val="2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0" w:hRule="atLeast"/>
          <w:jc w:val="center"/>
        </w:trPr>
        <w:tc>
          <w:tcPr>
            <w:tcW w:w="936" w:type="dxa"/>
            <w:tcBorders>
              <w:top w:val="single" w:color="auto" w:sz="4" w:space="0"/>
              <w:left w:val="single" w:color="auto" w:sz="4" w:space="0"/>
              <w:bottom w:val="single" w:color="auto" w:sz="4" w:space="0"/>
              <w:right w:val="single" w:color="auto" w:sz="4" w:space="0"/>
            </w:tcBorders>
            <w:vAlign w:val="center"/>
          </w:tcPr>
          <w:p>
            <w:pPr>
              <w:spacing w:line="960" w:lineRule="auto"/>
              <w:jc w:val="center"/>
              <w:rPr>
                <w:rFonts w:ascii="宋体" w:hAnsi="宋体" w:eastAsia="宋体" w:cs="宋体"/>
                <w:snapToGrid w:val="0"/>
                <w:sz w:val="28"/>
                <w:szCs w:val="28"/>
              </w:rPr>
            </w:pPr>
            <w:r>
              <w:rPr>
                <w:rFonts w:hint="eastAsia" w:ascii="宋体" w:hAnsi="宋体" w:eastAsia="宋体" w:cs="宋体"/>
                <w:snapToGrid w:val="0"/>
                <w:sz w:val="28"/>
                <w:szCs w:val="28"/>
              </w:rPr>
              <w:t>1</w:t>
            </w:r>
          </w:p>
        </w:tc>
        <w:tc>
          <w:tcPr>
            <w:tcW w:w="172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 w:val="28"/>
                <w:szCs w:val="28"/>
              </w:rPr>
            </w:pPr>
          </w:p>
          <w:p>
            <w:pPr>
              <w:jc w:val="center"/>
              <w:rPr>
                <w:rFonts w:ascii="宋体" w:hAnsi="宋体" w:eastAsia="宋体" w:cs="宋体"/>
                <w:sz w:val="28"/>
                <w:szCs w:val="28"/>
              </w:rPr>
            </w:pPr>
            <w:r>
              <w:rPr>
                <w:rFonts w:hint="eastAsia" w:ascii="宋体" w:hAnsi="宋体" w:eastAsia="宋体" w:cs="宋体"/>
                <w:sz w:val="28"/>
                <w:szCs w:val="28"/>
              </w:rPr>
              <w:t>价格</w:t>
            </w:r>
          </w:p>
          <w:p>
            <w:pPr>
              <w:jc w:val="center"/>
              <w:rPr>
                <w:rFonts w:ascii="宋体" w:hAnsi="宋体" w:eastAsia="宋体" w:cs="宋体"/>
                <w:snapToGrid w:val="0"/>
                <w:sz w:val="28"/>
                <w:szCs w:val="28"/>
              </w:rPr>
            </w:pPr>
            <w:r>
              <w:rPr>
                <w:rFonts w:hint="eastAsia" w:ascii="宋体" w:hAnsi="宋体" w:eastAsia="宋体" w:cs="宋体"/>
                <w:snapToGrid w:val="0"/>
                <w:sz w:val="28"/>
                <w:szCs w:val="28"/>
              </w:rPr>
              <w:t>（35分）</w:t>
            </w:r>
          </w:p>
          <w:p>
            <w:pPr>
              <w:jc w:val="center"/>
              <w:rPr>
                <w:rFonts w:ascii="宋体" w:hAnsi="宋体" w:eastAsia="宋体" w:cs="宋体"/>
                <w:sz w:val="28"/>
                <w:szCs w:val="28"/>
              </w:rPr>
            </w:pPr>
          </w:p>
        </w:tc>
        <w:tc>
          <w:tcPr>
            <w:tcW w:w="521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eastAsia="宋体" w:cs="宋体"/>
                <w:sz w:val="28"/>
                <w:szCs w:val="28"/>
              </w:rPr>
            </w:pPr>
            <w:r>
              <w:rPr>
                <w:rFonts w:hint="eastAsia" w:ascii="宋体" w:hAnsi="宋体" w:eastAsia="宋体" w:cs="宋体"/>
                <w:sz w:val="28"/>
                <w:szCs w:val="28"/>
              </w:rPr>
              <w:t>价格分采用低价优先法计算，满足招标文件要求，进入详细评审的各投标人报价的最低值为评标基准价A值，A值为价格分的满分，即35分。其他投标人的价格分统一按照以下公式计算：投标人评标价得分=（A／该投标人评标价）×35（保留小数点后两位）。</w:t>
            </w:r>
          </w:p>
        </w:tc>
        <w:tc>
          <w:tcPr>
            <w:tcW w:w="90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sz w:val="28"/>
                <w:szCs w:val="28"/>
              </w:rPr>
            </w:pPr>
            <w:r>
              <w:rPr>
                <w:rFonts w:hint="eastAsia" w:ascii="宋体" w:hAnsi="宋体" w:eastAsia="宋体" w:cs="宋体"/>
                <w:sz w:val="28"/>
                <w:szCs w:val="28"/>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4" w:hRule="atLeast"/>
          <w:jc w:val="center"/>
        </w:trPr>
        <w:tc>
          <w:tcPr>
            <w:tcW w:w="936" w:type="dxa"/>
            <w:tcBorders>
              <w:top w:val="single" w:color="auto" w:sz="4" w:space="0"/>
              <w:left w:val="single" w:color="auto" w:sz="4" w:space="0"/>
              <w:right w:val="single" w:color="auto" w:sz="4" w:space="0"/>
            </w:tcBorders>
            <w:vAlign w:val="center"/>
          </w:tcPr>
          <w:p>
            <w:pPr>
              <w:spacing w:line="960" w:lineRule="auto"/>
              <w:jc w:val="center"/>
              <w:rPr>
                <w:rFonts w:ascii="宋体" w:hAnsi="宋体" w:eastAsia="宋体" w:cs="宋体"/>
                <w:snapToGrid w:val="0"/>
                <w:sz w:val="28"/>
                <w:szCs w:val="28"/>
              </w:rPr>
            </w:pPr>
            <w:r>
              <w:rPr>
                <w:rFonts w:hint="eastAsia" w:ascii="宋体" w:hAnsi="宋体" w:eastAsia="宋体" w:cs="宋体"/>
                <w:snapToGrid w:val="0"/>
                <w:sz w:val="28"/>
                <w:szCs w:val="28"/>
              </w:rPr>
              <w:t>2</w:t>
            </w:r>
          </w:p>
        </w:tc>
        <w:tc>
          <w:tcPr>
            <w:tcW w:w="1727" w:type="dxa"/>
            <w:tcBorders>
              <w:top w:val="single" w:color="auto" w:sz="4" w:space="0"/>
              <w:left w:val="single" w:color="auto" w:sz="4" w:space="0"/>
              <w:right w:val="single" w:color="auto" w:sz="4" w:space="0"/>
            </w:tcBorders>
            <w:vAlign w:val="center"/>
          </w:tcPr>
          <w:p>
            <w:pPr>
              <w:jc w:val="center"/>
              <w:rPr>
                <w:rFonts w:ascii="宋体" w:hAnsi="宋体" w:eastAsia="宋体" w:cs="宋体"/>
                <w:sz w:val="28"/>
                <w:szCs w:val="28"/>
              </w:rPr>
            </w:pPr>
            <w:r>
              <w:rPr>
                <w:rFonts w:hint="eastAsia" w:ascii="宋体" w:hAnsi="宋体" w:eastAsia="宋体" w:cs="宋体"/>
                <w:sz w:val="28"/>
                <w:szCs w:val="28"/>
              </w:rPr>
              <w:t>技术响应情况</w:t>
            </w:r>
          </w:p>
          <w:p>
            <w:pPr>
              <w:jc w:val="center"/>
              <w:rPr>
                <w:rFonts w:ascii="宋体" w:hAnsi="宋体" w:eastAsia="宋体" w:cs="宋体"/>
                <w:sz w:val="28"/>
                <w:szCs w:val="28"/>
              </w:rPr>
            </w:pPr>
            <w:r>
              <w:rPr>
                <w:rFonts w:hint="eastAsia" w:ascii="宋体" w:hAnsi="宋体" w:eastAsia="宋体" w:cs="宋体"/>
                <w:sz w:val="28"/>
                <w:szCs w:val="28"/>
              </w:rPr>
              <w:t>（40分）</w:t>
            </w:r>
          </w:p>
        </w:tc>
        <w:tc>
          <w:tcPr>
            <w:tcW w:w="521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eastAsia="宋体" w:cs="宋体"/>
                <w:sz w:val="28"/>
                <w:szCs w:val="28"/>
              </w:rPr>
            </w:pPr>
            <w:r>
              <w:rPr>
                <w:rFonts w:hint="eastAsia" w:ascii="宋体" w:hAnsi="宋体" w:eastAsia="宋体" w:cs="宋体"/>
                <w:sz w:val="28"/>
                <w:szCs w:val="28"/>
              </w:rPr>
              <w:t>投标产品对招标文件具体需求的响应程度：完全响应得40分；带</w:t>
            </w:r>
            <w:r>
              <w:rPr>
                <w:rFonts w:hint="eastAsia" w:ascii="宋体" w:hAnsi="宋体" w:eastAsia="宋体" w:cs="宋体"/>
                <w:bCs/>
                <w:sz w:val="28"/>
                <w:szCs w:val="28"/>
              </w:rPr>
              <w:t>★项的为主要指标，</w:t>
            </w:r>
            <w:r>
              <w:rPr>
                <w:rFonts w:hint="eastAsia" w:ascii="宋体" w:hAnsi="宋体" w:eastAsia="宋体" w:cs="宋体"/>
                <w:sz w:val="28"/>
                <w:szCs w:val="28"/>
              </w:rPr>
              <w:t>不满足的每项减4分，其他每有一项不满足减2分；有4项负偏离，该项不得分。</w:t>
            </w:r>
          </w:p>
        </w:tc>
        <w:tc>
          <w:tcPr>
            <w:tcW w:w="903" w:type="dxa"/>
            <w:tcBorders>
              <w:top w:val="single" w:color="auto" w:sz="4" w:space="0"/>
              <w:left w:val="single" w:color="auto" w:sz="4" w:space="0"/>
              <w:right w:val="single" w:color="auto" w:sz="4" w:space="0"/>
            </w:tcBorders>
            <w:vAlign w:val="center"/>
          </w:tcPr>
          <w:p>
            <w:pPr>
              <w:spacing w:line="300" w:lineRule="exact"/>
              <w:jc w:val="center"/>
              <w:rPr>
                <w:rFonts w:ascii="宋体" w:hAnsi="宋体" w:eastAsia="宋体" w:cs="宋体"/>
                <w:sz w:val="28"/>
                <w:szCs w:val="28"/>
              </w:rPr>
            </w:pPr>
            <w:r>
              <w:rPr>
                <w:rFonts w:hint="eastAsia" w:ascii="宋体" w:hAnsi="宋体" w:eastAsia="宋体" w:cs="宋体"/>
                <w:sz w:val="28"/>
                <w:szCs w:val="28"/>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936" w:type="dxa"/>
            <w:tcBorders>
              <w:top w:val="single" w:color="auto" w:sz="4" w:space="0"/>
              <w:left w:val="single" w:color="auto" w:sz="4" w:space="0"/>
              <w:bottom w:val="single" w:color="auto" w:sz="4" w:space="0"/>
              <w:right w:val="single" w:color="auto" w:sz="4" w:space="0"/>
            </w:tcBorders>
            <w:vAlign w:val="center"/>
          </w:tcPr>
          <w:p>
            <w:pPr>
              <w:spacing w:line="960" w:lineRule="auto"/>
              <w:jc w:val="center"/>
              <w:rPr>
                <w:rFonts w:ascii="宋体" w:hAnsi="宋体" w:eastAsia="宋体" w:cs="宋体"/>
                <w:snapToGrid w:val="0"/>
                <w:sz w:val="28"/>
                <w:szCs w:val="28"/>
              </w:rPr>
            </w:pPr>
            <w:r>
              <w:rPr>
                <w:rFonts w:hint="eastAsia" w:ascii="宋体" w:hAnsi="宋体" w:eastAsia="宋体" w:cs="宋体"/>
                <w:snapToGrid w:val="0"/>
                <w:sz w:val="28"/>
                <w:szCs w:val="28"/>
              </w:rPr>
              <w:t>3</w:t>
            </w:r>
          </w:p>
        </w:tc>
        <w:tc>
          <w:tcPr>
            <w:tcW w:w="172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napToGrid w:val="0"/>
                <w:sz w:val="28"/>
                <w:szCs w:val="28"/>
              </w:rPr>
            </w:pPr>
            <w:r>
              <w:rPr>
                <w:rFonts w:hint="eastAsia" w:ascii="宋体" w:hAnsi="宋体" w:eastAsia="宋体" w:cs="宋体"/>
                <w:snapToGrid w:val="0"/>
                <w:sz w:val="28"/>
                <w:szCs w:val="28"/>
              </w:rPr>
              <w:t>同类产品销售业绩（15分）</w:t>
            </w:r>
          </w:p>
        </w:tc>
        <w:tc>
          <w:tcPr>
            <w:tcW w:w="521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eastAsia="宋体" w:cs="宋体"/>
                <w:sz w:val="28"/>
                <w:szCs w:val="28"/>
              </w:rPr>
            </w:pPr>
            <w:r>
              <w:rPr>
                <w:rFonts w:hint="eastAsia" w:ascii="宋体" w:hAnsi="宋体" w:eastAsia="宋体" w:cs="宋体"/>
                <w:sz w:val="28"/>
                <w:szCs w:val="28"/>
              </w:rPr>
              <w:t>投标人2018年01月01日以来的类似项目业绩，每提供一个得1分，最高得15分。（请提供有效的加盖公章的合同复印件,原件备查）</w:t>
            </w:r>
          </w:p>
        </w:tc>
        <w:tc>
          <w:tcPr>
            <w:tcW w:w="90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sz w:val="28"/>
                <w:szCs w:val="28"/>
              </w:rPr>
            </w:pPr>
            <w:r>
              <w:rPr>
                <w:rFonts w:hint="eastAsia" w:ascii="宋体" w:hAnsi="宋体" w:eastAsia="宋体" w:cs="宋体"/>
                <w:sz w:val="28"/>
                <w:szCs w:val="2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936" w:type="dxa"/>
            <w:vMerge w:val="restart"/>
            <w:tcBorders>
              <w:top w:val="single" w:color="auto" w:sz="4" w:space="0"/>
              <w:left w:val="single" w:color="auto" w:sz="4" w:space="0"/>
              <w:right w:val="single" w:color="auto" w:sz="4" w:space="0"/>
            </w:tcBorders>
            <w:vAlign w:val="center"/>
          </w:tcPr>
          <w:p>
            <w:pPr>
              <w:spacing w:line="960" w:lineRule="auto"/>
              <w:jc w:val="center"/>
              <w:rPr>
                <w:rFonts w:ascii="宋体" w:hAnsi="宋体" w:eastAsia="宋体" w:cs="宋体"/>
                <w:snapToGrid w:val="0"/>
                <w:sz w:val="28"/>
                <w:szCs w:val="28"/>
              </w:rPr>
            </w:pPr>
            <w:r>
              <w:rPr>
                <w:rFonts w:hint="eastAsia" w:ascii="宋体" w:hAnsi="宋体" w:eastAsia="宋体" w:cs="宋体"/>
                <w:snapToGrid w:val="0"/>
                <w:sz w:val="28"/>
                <w:szCs w:val="28"/>
              </w:rPr>
              <w:t>4</w:t>
            </w:r>
          </w:p>
        </w:tc>
        <w:tc>
          <w:tcPr>
            <w:tcW w:w="1727" w:type="dxa"/>
            <w:vMerge w:val="restart"/>
            <w:tcBorders>
              <w:top w:val="single" w:color="auto" w:sz="4" w:space="0"/>
              <w:left w:val="single" w:color="auto" w:sz="4" w:space="0"/>
              <w:right w:val="single" w:color="auto" w:sz="4" w:space="0"/>
            </w:tcBorders>
            <w:vAlign w:val="center"/>
          </w:tcPr>
          <w:p>
            <w:pPr>
              <w:jc w:val="center"/>
              <w:rPr>
                <w:rFonts w:ascii="宋体" w:hAnsi="宋体" w:eastAsia="宋体" w:cs="宋体"/>
                <w:sz w:val="28"/>
                <w:szCs w:val="28"/>
              </w:rPr>
            </w:pPr>
            <w:r>
              <w:rPr>
                <w:rFonts w:hint="eastAsia" w:ascii="宋体" w:hAnsi="宋体" w:eastAsia="宋体" w:cs="宋体"/>
                <w:sz w:val="28"/>
                <w:szCs w:val="28"/>
              </w:rPr>
              <w:t>售后服务</w:t>
            </w:r>
          </w:p>
          <w:p>
            <w:pPr>
              <w:jc w:val="center"/>
              <w:rPr>
                <w:rFonts w:ascii="宋体" w:hAnsi="宋体" w:eastAsia="宋体" w:cs="宋体"/>
                <w:sz w:val="28"/>
                <w:szCs w:val="28"/>
              </w:rPr>
            </w:pPr>
            <w:r>
              <w:rPr>
                <w:rFonts w:hint="eastAsia" w:ascii="宋体" w:hAnsi="宋体" w:eastAsia="宋体" w:cs="宋体"/>
                <w:sz w:val="28"/>
                <w:szCs w:val="28"/>
              </w:rPr>
              <w:t>（6分）</w:t>
            </w:r>
          </w:p>
          <w:p>
            <w:pPr>
              <w:jc w:val="center"/>
              <w:rPr>
                <w:rFonts w:ascii="宋体" w:hAnsi="宋体" w:eastAsia="宋体" w:cs="宋体"/>
                <w:sz w:val="28"/>
                <w:szCs w:val="28"/>
              </w:rPr>
            </w:pPr>
          </w:p>
        </w:tc>
        <w:tc>
          <w:tcPr>
            <w:tcW w:w="521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eastAsia="宋体" w:cs="宋体"/>
                <w:sz w:val="28"/>
                <w:szCs w:val="28"/>
              </w:rPr>
            </w:pPr>
            <w:r>
              <w:rPr>
                <w:rFonts w:hint="eastAsia" w:ascii="宋体" w:hAnsi="宋体" w:eastAsia="宋体" w:cs="宋体"/>
                <w:sz w:val="28"/>
                <w:szCs w:val="28"/>
              </w:rPr>
              <w:t>产品免费质保期内的修、配、换及维护保养内容进行综合评分，得分为0-4分。</w:t>
            </w:r>
          </w:p>
        </w:tc>
        <w:tc>
          <w:tcPr>
            <w:tcW w:w="903" w:type="dxa"/>
            <w:tcBorders>
              <w:top w:val="single" w:color="auto" w:sz="4" w:space="0"/>
              <w:left w:val="single" w:color="auto" w:sz="4" w:space="0"/>
              <w:right w:val="single" w:color="auto" w:sz="4" w:space="0"/>
            </w:tcBorders>
            <w:vAlign w:val="center"/>
          </w:tcPr>
          <w:p>
            <w:pPr>
              <w:spacing w:line="300" w:lineRule="exact"/>
              <w:jc w:val="center"/>
              <w:rPr>
                <w:rFonts w:ascii="宋体" w:hAnsi="宋体" w:eastAsia="宋体" w:cs="宋体"/>
                <w:sz w:val="28"/>
                <w:szCs w:val="28"/>
              </w:rPr>
            </w:pPr>
            <w:r>
              <w:rPr>
                <w:rFonts w:hint="eastAsia" w:ascii="宋体" w:hAnsi="宋体" w:eastAsia="宋体" w:cs="宋体"/>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936" w:type="dxa"/>
            <w:vMerge w:val="continue"/>
            <w:tcBorders>
              <w:left w:val="single" w:color="auto" w:sz="4" w:space="0"/>
              <w:bottom w:val="single" w:color="auto" w:sz="4" w:space="0"/>
              <w:right w:val="single" w:color="auto" w:sz="4" w:space="0"/>
            </w:tcBorders>
            <w:vAlign w:val="center"/>
          </w:tcPr>
          <w:p>
            <w:pPr>
              <w:spacing w:line="960" w:lineRule="auto"/>
              <w:jc w:val="center"/>
              <w:rPr>
                <w:rFonts w:ascii="宋体" w:hAnsi="宋体" w:eastAsia="宋体" w:cs="宋体"/>
                <w:snapToGrid w:val="0"/>
                <w:sz w:val="28"/>
                <w:szCs w:val="28"/>
              </w:rPr>
            </w:pPr>
          </w:p>
        </w:tc>
        <w:tc>
          <w:tcPr>
            <w:tcW w:w="1727" w:type="dxa"/>
            <w:vMerge w:val="continue"/>
            <w:tcBorders>
              <w:left w:val="single" w:color="auto" w:sz="4" w:space="0"/>
              <w:bottom w:val="single" w:color="auto" w:sz="4" w:space="0"/>
              <w:right w:val="single" w:color="auto" w:sz="4" w:space="0"/>
            </w:tcBorders>
            <w:vAlign w:val="center"/>
          </w:tcPr>
          <w:p>
            <w:pPr>
              <w:jc w:val="center"/>
              <w:rPr>
                <w:rFonts w:ascii="宋体" w:hAnsi="宋体" w:eastAsia="宋体" w:cs="宋体"/>
                <w:sz w:val="28"/>
                <w:szCs w:val="28"/>
              </w:rPr>
            </w:pPr>
          </w:p>
        </w:tc>
        <w:tc>
          <w:tcPr>
            <w:tcW w:w="521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eastAsia="宋体" w:cs="宋体"/>
                <w:sz w:val="28"/>
                <w:szCs w:val="28"/>
              </w:rPr>
            </w:pPr>
            <w:r>
              <w:rPr>
                <w:rFonts w:hint="eastAsia" w:ascii="宋体" w:hAnsi="宋体" w:eastAsia="宋体" w:cs="宋体"/>
                <w:sz w:val="28"/>
                <w:szCs w:val="28"/>
              </w:rPr>
              <w:t>产品质保期2年不得分，每多一年得1分，最高不超过2分。</w:t>
            </w:r>
          </w:p>
        </w:tc>
        <w:tc>
          <w:tcPr>
            <w:tcW w:w="903" w:type="dxa"/>
            <w:tcBorders>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sz w:val="28"/>
                <w:szCs w:val="28"/>
              </w:rPr>
            </w:pPr>
            <w:r>
              <w:rPr>
                <w:rFonts w:hint="eastAsia" w:ascii="宋体" w:hAnsi="宋体" w:eastAsia="宋体" w:cs="宋体"/>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7" w:hRule="atLeast"/>
          <w:jc w:val="center"/>
        </w:trPr>
        <w:tc>
          <w:tcPr>
            <w:tcW w:w="936" w:type="dxa"/>
            <w:tcBorders>
              <w:top w:val="single" w:color="auto" w:sz="4" w:space="0"/>
              <w:left w:val="single" w:color="auto" w:sz="4" w:space="0"/>
              <w:bottom w:val="single" w:color="auto" w:sz="4" w:space="0"/>
              <w:right w:val="single" w:color="auto" w:sz="4" w:space="0"/>
            </w:tcBorders>
            <w:vAlign w:val="center"/>
          </w:tcPr>
          <w:p>
            <w:pPr>
              <w:spacing w:line="960" w:lineRule="auto"/>
              <w:jc w:val="center"/>
              <w:rPr>
                <w:rFonts w:ascii="宋体" w:hAnsi="宋体" w:eastAsia="宋体" w:cs="宋体"/>
                <w:snapToGrid w:val="0"/>
                <w:sz w:val="28"/>
                <w:szCs w:val="28"/>
              </w:rPr>
            </w:pPr>
            <w:r>
              <w:rPr>
                <w:rFonts w:hint="eastAsia" w:ascii="宋体" w:hAnsi="宋体" w:eastAsia="宋体" w:cs="宋体"/>
                <w:snapToGrid w:val="0"/>
                <w:sz w:val="28"/>
                <w:szCs w:val="28"/>
              </w:rPr>
              <w:t>5</w:t>
            </w:r>
          </w:p>
        </w:tc>
        <w:tc>
          <w:tcPr>
            <w:tcW w:w="172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 w:val="28"/>
                <w:szCs w:val="28"/>
              </w:rPr>
            </w:pPr>
            <w:r>
              <w:rPr>
                <w:rFonts w:hint="eastAsia" w:ascii="宋体" w:hAnsi="宋体" w:eastAsia="宋体" w:cs="宋体"/>
                <w:sz w:val="28"/>
                <w:szCs w:val="28"/>
              </w:rPr>
              <w:t>投标文件响应程度（4分）</w:t>
            </w:r>
          </w:p>
        </w:tc>
        <w:tc>
          <w:tcPr>
            <w:tcW w:w="521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eastAsia="宋体" w:cs="宋体"/>
                <w:sz w:val="28"/>
                <w:szCs w:val="28"/>
                <w:lang w:val="zh-CN"/>
              </w:rPr>
            </w:pPr>
            <w:r>
              <w:rPr>
                <w:rFonts w:hint="eastAsia" w:ascii="宋体" w:hAnsi="宋体" w:eastAsia="宋体" w:cs="宋体"/>
                <w:sz w:val="28"/>
                <w:szCs w:val="28"/>
              </w:rPr>
              <w:t>根据投标人制作的投标文件的响应情况、技术服务内容是否齐全等进行酌情给予0-4分。</w:t>
            </w:r>
          </w:p>
        </w:tc>
        <w:tc>
          <w:tcPr>
            <w:tcW w:w="90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sz w:val="28"/>
                <w:szCs w:val="28"/>
              </w:rPr>
            </w:pPr>
            <w:r>
              <w:rPr>
                <w:rFonts w:hint="eastAsia" w:ascii="宋体" w:hAnsi="宋体" w:eastAsia="宋体" w:cs="宋体"/>
                <w:sz w:val="28"/>
                <w:szCs w:val="28"/>
              </w:rPr>
              <w:t>4</w:t>
            </w:r>
          </w:p>
        </w:tc>
      </w:tr>
    </w:tbl>
    <w:p>
      <w:pPr>
        <w:spacing w:line="360" w:lineRule="auto"/>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955039"/>
      <w:bookmarkEnd w:id="168"/>
      <w:bookmarkStart w:id="169" w:name="_Hlt26671244"/>
      <w:bookmarkEnd w:id="169"/>
      <w:bookmarkStart w:id="170" w:name="_Toc49090576"/>
      <w:bookmarkStart w:id="171" w:name="_Toc120614282"/>
      <w:bookmarkStart w:id="172" w:name="_Toc26554094"/>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7"/>
        <w:ind w:firstLine="0"/>
        <w:jc w:val="center"/>
        <w:rPr>
          <w:b/>
        </w:rPr>
      </w:pPr>
      <w:bookmarkStart w:id="173" w:name="_Toc517190894"/>
      <w:r>
        <w:rPr>
          <w:rFonts w:hint="eastAsia"/>
          <w:b/>
          <w:sz w:val="32"/>
        </w:rPr>
        <w:t>投标函格式</w:t>
      </w:r>
      <w:bookmarkEnd w:id="173"/>
    </w:p>
    <w:p>
      <w:pPr>
        <w:pStyle w:val="27"/>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7"/>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7"/>
        <w:spacing w:before="0" w:after="0" w:line="420" w:lineRule="exact"/>
        <w:ind w:left="440" w:leftChars="200" w:firstLine="3500" w:firstLineChars="1250"/>
        <w:rPr>
          <w:rFonts w:ascii="宋体" w:hAnsi="宋体"/>
          <w:kern w:val="2"/>
          <w:sz w:val="28"/>
          <w:szCs w:val="21"/>
        </w:rPr>
      </w:pPr>
    </w:p>
    <w:p>
      <w:pPr>
        <w:pStyle w:val="27"/>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7"/>
        <w:ind w:firstLine="0"/>
        <w:jc w:val="center"/>
        <w:rPr>
          <w:b/>
          <w:sz w:val="32"/>
        </w:rPr>
      </w:pPr>
      <w:bookmarkStart w:id="174" w:name="_Toc517190895"/>
      <w:r>
        <w:rPr>
          <w:rFonts w:hint="eastAsia"/>
          <w:b/>
          <w:sz w:val="32"/>
        </w:rPr>
        <w:t>法人授权书</w:t>
      </w:r>
      <w:bookmarkEnd w:id="174"/>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3"/>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格式3__银行出具的资信证明"/>
      <w:bookmarkEnd w:id="176"/>
      <w:bookmarkStart w:id="177" w:name="_Hlt26955070"/>
      <w:bookmarkEnd w:id="177"/>
    </w:p>
    <w:p>
      <w:pPr>
        <w:pStyle w:val="3"/>
        <w:rPr>
          <w:rFonts w:asciiTheme="minorEastAsia" w:hAnsiTheme="minorEastAsia" w:eastAsiaTheme="minorEastAsia"/>
          <w:sz w:val="36"/>
        </w:rPr>
      </w:pPr>
    </w:p>
    <w:p>
      <w:pPr>
        <w:pStyle w:val="27"/>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8"/>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7"/>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7"/>
        <w:ind w:firstLine="0"/>
        <w:jc w:val="center"/>
        <w:rPr>
          <w:b/>
          <w:sz w:val="32"/>
        </w:rPr>
      </w:pPr>
      <w:r>
        <w:rPr>
          <w:rFonts w:hint="eastAsia"/>
          <w:b/>
          <w:sz w:val="32"/>
        </w:rPr>
        <w:t>投标产品配置及分项报价表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8"/>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jc w:val="both"/>
        <w:rPr>
          <w:rFonts w:asciiTheme="minorEastAsia" w:hAnsiTheme="minorEastAsia" w:eastAsiaTheme="minorEastAsia"/>
          <w:sz w:val="28"/>
          <w:szCs w:val="28"/>
        </w:rPr>
      </w:pPr>
      <w:r>
        <w:rPr>
          <w:rFonts w:hint="eastAsia" w:ascii="宋体" w:hAnsi="宋体"/>
        </w:rPr>
        <w:t xml:space="preserve"> </w:t>
      </w:r>
      <w:r>
        <w:rPr>
          <w:rFonts w:hint="eastAsia" w:asciiTheme="minorEastAsia" w:hAnsiTheme="minorEastAsia" w:eastAsiaTheme="minorEastAsia"/>
          <w:sz w:val="28"/>
          <w:szCs w:val="28"/>
        </w:rPr>
        <w:t>法定代表人或授权代表签字：</w:t>
      </w:r>
    </w:p>
    <w:p>
      <w:pPr>
        <w:spacing w:line="360" w:lineRule="auto"/>
        <w:rPr>
          <w:rFonts w:ascii="宋体" w:hAnsi="宋体" w:eastAsia="宋体"/>
          <w:b/>
          <w:bCs/>
          <w:sz w:val="36"/>
          <w:szCs w:val="36"/>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8"/>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240" w:lineRule="atLeast"/>
        <w:rPr>
          <w:rFonts w:asciiTheme="minorEastAsia" w:hAnsiTheme="minorEastAsia" w:eastAsiaTheme="minorEastAsia"/>
          <w:sz w:val="24"/>
          <w:szCs w:val="28"/>
        </w:rPr>
      </w:pP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526"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Fonts w:ascii="宋体" w:hAnsi="宋体"/>
      </w:rPr>
    </w:pPr>
    <w:r>
      <w:rPr>
        <w:rFonts w:ascii="宋体" w:hAnsi="宋体"/>
      </w:rPr>
      <w:fldChar w:fldCharType="begin"/>
    </w:r>
    <w:r>
      <w:rPr>
        <w:rStyle w:val="20"/>
        <w:rFonts w:ascii="宋体" w:hAnsi="宋体"/>
      </w:rPr>
      <w:instrText xml:space="preserve">PAGE  </w:instrText>
    </w:r>
    <w:r>
      <w:rPr>
        <w:rFonts w:ascii="宋体" w:hAnsi="宋体"/>
      </w:rPr>
      <w:fldChar w:fldCharType="separate"/>
    </w:r>
    <w:r>
      <w:rPr>
        <w:rStyle w:val="20"/>
        <w:rFonts w:ascii="宋体" w:hAnsi="宋体"/>
      </w:rPr>
      <w:t>21</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DC4DA51"/>
    <w:multiLevelType w:val="singleLevel"/>
    <w:tmpl w:val="DDC4DA51"/>
    <w:lvl w:ilvl="0" w:tentative="0">
      <w:start w:val="3"/>
      <w:numFmt w:val="chineseCounting"/>
      <w:suff w:val="nothing"/>
      <w:lvlText w:val="（%1）"/>
      <w:lvlJc w:val="left"/>
      <w:rPr>
        <w:rFonts w:hint="eastAsia"/>
      </w:rPr>
    </w:lvl>
  </w:abstractNum>
  <w:abstractNum w:abstractNumId="1">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14B69"/>
    <w:rsid w:val="00015BC9"/>
    <w:rsid w:val="00026CA5"/>
    <w:rsid w:val="00045531"/>
    <w:rsid w:val="000458DB"/>
    <w:rsid w:val="00046D67"/>
    <w:rsid w:val="000508AB"/>
    <w:rsid w:val="00050D10"/>
    <w:rsid w:val="00053D2D"/>
    <w:rsid w:val="00053D8C"/>
    <w:rsid w:val="0005451A"/>
    <w:rsid w:val="00062EBC"/>
    <w:rsid w:val="00063E5E"/>
    <w:rsid w:val="00070968"/>
    <w:rsid w:val="00075408"/>
    <w:rsid w:val="00077718"/>
    <w:rsid w:val="0008466D"/>
    <w:rsid w:val="00086A59"/>
    <w:rsid w:val="00086FE4"/>
    <w:rsid w:val="00090C36"/>
    <w:rsid w:val="00092136"/>
    <w:rsid w:val="0009546A"/>
    <w:rsid w:val="00096EB7"/>
    <w:rsid w:val="000A4EF6"/>
    <w:rsid w:val="000B08EC"/>
    <w:rsid w:val="000B0E83"/>
    <w:rsid w:val="000B538B"/>
    <w:rsid w:val="000C3635"/>
    <w:rsid w:val="000C6FE5"/>
    <w:rsid w:val="000C7C51"/>
    <w:rsid w:val="000D0163"/>
    <w:rsid w:val="000E501B"/>
    <w:rsid w:val="000E7086"/>
    <w:rsid w:val="000F4CEA"/>
    <w:rsid w:val="00100D01"/>
    <w:rsid w:val="00101A8A"/>
    <w:rsid w:val="0012092A"/>
    <w:rsid w:val="001225B3"/>
    <w:rsid w:val="00124A3C"/>
    <w:rsid w:val="00125C10"/>
    <w:rsid w:val="00137666"/>
    <w:rsid w:val="00141840"/>
    <w:rsid w:val="001424D3"/>
    <w:rsid w:val="0016026B"/>
    <w:rsid w:val="00160A9B"/>
    <w:rsid w:val="001647DF"/>
    <w:rsid w:val="00165E37"/>
    <w:rsid w:val="00166953"/>
    <w:rsid w:val="001674B0"/>
    <w:rsid w:val="00167738"/>
    <w:rsid w:val="00170D4A"/>
    <w:rsid w:val="0018443B"/>
    <w:rsid w:val="00193521"/>
    <w:rsid w:val="001A049C"/>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340A"/>
    <w:rsid w:val="001F4F63"/>
    <w:rsid w:val="00203530"/>
    <w:rsid w:val="0020432E"/>
    <w:rsid w:val="00206503"/>
    <w:rsid w:val="002070F5"/>
    <w:rsid w:val="00211026"/>
    <w:rsid w:val="00232127"/>
    <w:rsid w:val="002327D4"/>
    <w:rsid w:val="00244DA0"/>
    <w:rsid w:val="002453B7"/>
    <w:rsid w:val="0025535E"/>
    <w:rsid w:val="00266C11"/>
    <w:rsid w:val="00266EA0"/>
    <w:rsid w:val="00272CB4"/>
    <w:rsid w:val="00295368"/>
    <w:rsid w:val="0029740A"/>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46E25"/>
    <w:rsid w:val="003525A5"/>
    <w:rsid w:val="003538BE"/>
    <w:rsid w:val="0036460C"/>
    <w:rsid w:val="00365285"/>
    <w:rsid w:val="00373EB8"/>
    <w:rsid w:val="0037490B"/>
    <w:rsid w:val="0038270D"/>
    <w:rsid w:val="00397BA9"/>
    <w:rsid w:val="003B1427"/>
    <w:rsid w:val="003B2DF7"/>
    <w:rsid w:val="003B3CF8"/>
    <w:rsid w:val="003C4103"/>
    <w:rsid w:val="003C7177"/>
    <w:rsid w:val="003D0023"/>
    <w:rsid w:val="003D2715"/>
    <w:rsid w:val="003D37D8"/>
    <w:rsid w:val="003D3DB6"/>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51E2F"/>
    <w:rsid w:val="00477C2E"/>
    <w:rsid w:val="004808C6"/>
    <w:rsid w:val="004A4F2D"/>
    <w:rsid w:val="004C56DA"/>
    <w:rsid w:val="004D01B7"/>
    <w:rsid w:val="004D4A10"/>
    <w:rsid w:val="004E0EEC"/>
    <w:rsid w:val="004E18B8"/>
    <w:rsid w:val="004E3402"/>
    <w:rsid w:val="004F2464"/>
    <w:rsid w:val="004F54A0"/>
    <w:rsid w:val="004F5C9E"/>
    <w:rsid w:val="004F6DEC"/>
    <w:rsid w:val="004F7103"/>
    <w:rsid w:val="00502136"/>
    <w:rsid w:val="005129DB"/>
    <w:rsid w:val="00522A2E"/>
    <w:rsid w:val="00523B5F"/>
    <w:rsid w:val="005253AD"/>
    <w:rsid w:val="00532F1E"/>
    <w:rsid w:val="00541E69"/>
    <w:rsid w:val="00557F99"/>
    <w:rsid w:val="0057236C"/>
    <w:rsid w:val="00574773"/>
    <w:rsid w:val="0057559A"/>
    <w:rsid w:val="00575703"/>
    <w:rsid w:val="0057580C"/>
    <w:rsid w:val="00575FC2"/>
    <w:rsid w:val="0058115B"/>
    <w:rsid w:val="00582807"/>
    <w:rsid w:val="00582977"/>
    <w:rsid w:val="005866DD"/>
    <w:rsid w:val="00590D7C"/>
    <w:rsid w:val="0059317B"/>
    <w:rsid w:val="00596F67"/>
    <w:rsid w:val="005A3A50"/>
    <w:rsid w:val="005B00B9"/>
    <w:rsid w:val="005B44B4"/>
    <w:rsid w:val="005C005E"/>
    <w:rsid w:val="005C66D3"/>
    <w:rsid w:val="005D2E1F"/>
    <w:rsid w:val="005F103C"/>
    <w:rsid w:val="00601FB9"/>
    <w:rsid w:val="0060453F"/>
    <w:rsid w:val="006045FD"/>
    <w:rsid w:val="006073C6"/>
    <w:rsid w:val="006160DD"/>
    <w:rsid w:val="006218B4"/>
    <w:rsid w:val="006411FE"/>
    <w:rsid w:val="006600C0"/>
    <w:rsid w:val="00663D89"/>
    <w:rsid w:val="00681F07"/>
    <w:rsid w:val="00692BCF"/>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0F2F"/>
    <w:rsid w:val="0074740B"/>
    <w:rsid w:val="00747556"/>
    <w:rsid w:val="007543D9"/>
    <w:rsid w:val="00754FBF"/>
    <w:rsid w:val="00755373"/>
    <w:rsid w:val="00762EB8"/>
    <w:rsid w:val="007730F5"/>
    <w:rsid w:val="00791FC9"/>
    <w:rsid w:val="00792482"/>
    <w:rsid w:val="0079316D"/>
    <w:rsid w:val="007944EA"/>
    <w:rsid w:val="007947E9"/>
    <w:rsid w:val="007A58F8"/>
    <w:rsid w:val="007B3D32"/>
    <w:rsid w:val="007E0F09"/>
    <w:rsid w:val="007E2F52"/>
    <w:rsid w:val="007E466E"/>
    <w:rsid w:val="007E5C50"/>
    <w:rsid w:val="007E7839"/>
    <w:rsid w:val="007F1718"/>
    <w:rsid w:val="007F18E6"/>
    <w:rsid w:val="007F226B"/>
    <w:rsid w:val="007F41F0"/>
    <w:rsid w:val="007F64AB"/>
    <w:rsid w:val="00801146"/>
    <w:rsid w:val="008266D1"/>
    <w:rsid w:val="008324FE"/>
    <w:rsid w:val="0083334C"/>
    <w:rsid w:val="00833AE1"/>
    <w:rsid w:val="00834323"/>
    <w:rsid w:val="00841379"/>
    <w:rsid w:val="0085068C"/>
    <w:rsid w:val="00853556"/>
    <w:rsid w:val="008545FA"/>
    <w:rsid w:val="00863149"/>
    <w:rsid w:val="00880315"/>
    <w:rsid w:val="00881E8B"/>
    <w:rsid w:val="00891674"/>
    <w:rsid w:val="008940B1"/>
    <w:rsid w:val="008944FE"/>
    <w:rsid w:val="008B0B7A"/>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235D"/>
    <w:rsid w:val="009326F0"/>
    <w:rsid w:val="009330FF"/>
    <w:rsid w:val="00937A6C"/>
    <w:rsid w:val="00944F3E"/>
    <w:rsid w:val="00953E8C"/>
    <w:rsid w:val="00954E6B"/>
    <w:rsid w:val="009569A2"/>
    <w:rsid w:val="009658D9"/>
    <w:rsid w:val="00982CE2"/>
    <w:rsid w:val="00985BBC"/>
    <w:rsid w:val="00994DC6"/>
    <w:rsid w:val="0099642C"/>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2B90"/>
    <w:rsid w:val="009F453D"/>
    <w:rsid w:val="00A02CA7"/>
    <w:rsid w:val="00A157F0"/>
    <w:rsid w:val="00A25E57"/>
    <w:rsid w:val="00A359B0"/>
    <w:rsid w:val="00A4464F"/>
    <w:rsid w:val="00A46E8D"/>
    <w:rsid w:val="00A478D2"/>
    <w:rsid w:val="00A51E9F"/>
    <w:rsid w:val="00A536D3"/>
    <w:rsid w:val="00A67624"/>
    <w:rsid w:val="00A719C8"/>
    <w:rsid w:val="00A754E0"/>
    <w:rsid w:val="00A84971"/>
    <w:rsid w:val="00A960CD"/>
    <w:rsid w:val="00AA10B3"/>
    <w:rsid w:val="00AA278C"/>
    <w:rsid w:val="00AB3CFF"/>
    <w:rsid w:val="00AC2325"/>
    <w:rsid w:val="00AC3CE4"/>
    <w:rsid w:val="00AD713B"/>
    <w:rsid w:val="00AE5082"/>
    <w:rsid w:val="00AE6332"/>
    <w:rsid w:val="00AF0E8F"/>
    <w:rsid w:val="00AF3ACC"/>
    <w:rsid w:val="00AF539E"/>
    <w:rsid w:val="00B06748"/>
    <w:rsid w:val="00B10D4E"/>
    <w:rsid w:val="00B14B96"/>
    <w:rsid w:val="00B300AE"/>
    <w:rsid w:val="00B312ED"/>
    <w:rsid w:val="00B32830"/>
    <w:rsid w:val="00B33A83"/>
    <w:rsid w:val="00B42425"/>
    <w:rsid w:val="00B445BC"/>
    <w:rsid w:val="00B47081"/>
    <w:rsid w:val="00B4709A"/>
    <w:rsid w:val="00B47424"/>
    <w:rsid w:val="00B50C8A"/>
    <w:rsid w:val="00B517FD"/>
    <w:rsid w:val="00B531AF"/>
    <w:rsid w:val="00B54479"/>
    <w:rsid w:val="00B65818"/>
    <w:rsid w:val="00B70A98"/>
    <w:rsid w:val="00B7298F"/>
    <w:rsid w:val="00B746B8"/>
    <w:rsid w:val="00B767A7"/>
    <w:rsid w:val="00B93218"/>
    <w:rsid w:val="00B9381E"/>
    <w:rsid w:val="00B93B01"/>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1A35"/>
    <w:rsid w:val="00BF201B"/>
    <w:rsid w:val="00BF26DD"/>
    <w:rsid w:val="00BF363B"/>
    <w:rsid w:val="00BF3F02"/>
    <w:rsid w:val="00BF3F2A"/>
    <w:rsid w:val="00BF688E"/>
    <w:rsid w:val="00BF6B18"/>
    <w:rsid w:val="00C00BC7"/>
    <w:rsid w:val="00C04748"/>
    <w:rsid w:val="00C12969"/>
    <w:rsid w:val="00C13584"/>
    <w:rsid w:val="00C1690A"/>
    <w:rsid w:val="00C30C20"/>
    <w:rsid w:val="00C370CA"/>
    <w:rsid w:val="00C40E65"/>
    <w:rsid w:val="00C43A01"/>
    <w:rsid w:val="00C541CB"/>
    <w:rsid w:val="00C55166"/>
    <w:rsid w:val="00C714F0"/>
    <w:rsid w:val="00C76558"/>
    <w:rsid w:val="00C82646"/>
    <w:rsid w:val="00C86FD4"/>
    <w:rsid w:val="00C96654"/>
    <w:rsid w:val="00CB2130"/>
    <w:rsid w:val="00CB3C11"/>
    <w:rsid w:val="00CB511C"/>
    <w:rsid w:val="00CD4D83"/>
    <w:rsid w:val="00CE18E8"/>
    <w:rsid w:val="00CE2DC2"/>
    <w:rsid w:val="00D126C6"/>
    <w:rsid w:val="00D1587C"/>
    <w:rsid w:val="00D278D7"/>
    <w:rsid w:val="00D279B0"/>
    <w:rsid w:val="00D31D50"/>
    <w:rsid w:val="00D323F9"/>
    <w:rsid w:val="00D4211D"/>
    <w:rsid w:val="00D44B37"/>
    <w:rsid w:val="00D5054E"/>
    <w:rsid w:val="00D53633"/>
    <w:rsid w:val="00D56CB6"/>
    <w:rsid w:val="00D61AE7"/>
    <w:rsid w:val="00D634CC"/>
    <w:rsid w:val="00D73065"/>
    <w:rsid w:val="00D77EC9"/>
    <w:rsid w:val="00D81D23"/>
    <w:rsid w:val="00D9005C"/>
    <w:rsid w:val="00DA1746"/>
    <w:rsid w:val="00DA3EB4"/>
    <w:rsid w:val="00DA4334"/>
    <w:rsid w:val="00DA76FE"/>
    <w:rsid w:val="00DB1721"/>
    <w:rsid w:val="00DB5FD8"/>
    <w:rsid w:val="00DC26C4"/>
    <w:rsid w:val="00DD6316"/>
    <w:rsid w:val="00DE05FA"/>
    <w:rsid w:val="00DE421A"/>
    <w:rsid w:val="00DF12D7"/>
    <w:rsid w:val="00DF16E1"/>
    <w:rsid w:val="00E011DE"/>
    <w:rsid w:val="00E02A5F"/>
    <w:rsid w:val="00E02D46"/>
    <w:rsid w:val="00E12D6B"/>
    <w:rsid w:val="00E14FB9"/>
    <w:rsid w:val="00E157E7"/>
    <w:rsid w:val="00E27FD1"/>
    <w:rsid w:val="00E31BD3"/>
    <w:rsid w:val="00E33A94"/>
    <w:rsid w:val="00E34600"/>
    <w:rsid w:val="00E36CB4"/>
    <w:rsid w:val="00E52BFB"/>
    <w:rsid w:val="00E537C7"/>
    <w:rsid w:val="00E53CF5"/>
    <w:rsid w:val="00E56996"/>
    <w:rsid w:val="00E569CC"/>
    <w:rsid w:val="00E57C17"/>
    <w:rsid w:val="00E75074"/>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07138"/>
    <w:rsid w:val="00F14151"/>
    <w:rsid w:val="00F152B0"/>
    <w:rsid w:val="00F212D3"/>
    <w:rsid w:val="00F27EE2"/>
    <w:rsid w:val="00F30A36"/>
    <w:rsid w:val="00F34B4A"/>
    <w:rsid w:val="00F34DF9"/>
    <w:rsid w:val="00F36EA1"/>
    <w:rsid w:val="00F4455E"/>
    <w:rsid w:val="00F5231B"/>
    <w:rsid w:val="00F60B40"/>
    <w:rsid w:val="00F64CC8"/>
    <w:rsid w:val="00F8761F"/>
    <w:rsid w:val="00F94053"/>
    <w:rsid w:val="00F94356"/>
    <w:rsid w:val="00F952C7"/>
    <w:rsid w:val="00F96BF5"/>
    <w:rsid w:val="00FA1FA5"/>
    <w:rsid w:val="00FA2E72"/>
    <w:rsid w:val="00FA4F5F"/>
    <w:rsid w:val="00FA7B45"/>
    <w:rsid w:val="00FB0011"/>
    <w:rsid w:val="00FB191C"/>
    <w:rsid w:val="00FB608D"/>
    <w:rsid w:val="00FC0456"/>
    <w:rsid w:val="00FC3104"/>
    <w:rsid w:val="00FD1D4C"/>
    <w:rsid w:val="00FF44F0"/>
    <w:rsid w:val="00FF7A26"/>
    <w:rsid w:val="01653378"/>
    <w:rsid w:val="04545839"/>
    <w:rsid w:val="04F3430C"/>
    <w:rsid w:val="06BA0B56"/>
    <w:rsid w:val="08D17BB7"/>
    <w:rsid w:val="09C76800"/>
    <w:rsid w:val="0B4D26CA"/>
    <w:rsid w:val="0C1777C2"/>
    <w:rsid w:val="0D7C3718"/>
    <w:rsid w:val="0EC60711"/>
    <w:rsid w:val="0EDC7635"/>
    <w:rsid w:val="115B563A"/>
    <w:rsid w:val="11B96637"/>
    <w:rsid w:val="148510D6"/>
    <w:rsid w:val="14E81E7D"/>
    <w:rsid w:val="16A17C91"/>
    <w:rsid w:val="16E43DDC"/>
    <w:rsid w:val="193034DC"/>
    <w:rsid w:val="1A2F49D4"/>
    <w:rsid w:val="20947DAF"/>
    <w:rsid w:val="20C722ED"/>
    <w:rsid w:val="216113F4"/>
    <w:rsid w:val="224B6541"/>
    <w:rsid w:val="22887C14"/>
    <w:rsid w:val="23711F72"/>
    <w:rsid w:val="25F955C5"/>
    <w:rsid w:val="27342A22"/>
    <w:rsid w:val="27AF3200"/>
    <w:rsid w:val="283F22EF"/>
    <w:rsid w:val="29403C69"/>
    <w:rsid w:val="2A1B0980"/>
    <w:rsid w:val="2C257666"/>
    <w:rsid w:val="2D3109CB"/>
    <w:rsid w:val="2FC97C01"/>
    <w:rsid w:val="2FD04905"/>
    <w:rsid w:val="308F6267"/>
    <w:rsid w:val="31865542"/>
    <w:rsid w:val="321E2E3D"/>
    <w:rsid w:val="340376D1"/>
    <w:rsid w:val="34112F1E"/>
    <w:rsid w:val="376F7278"/>
    <w:rsid w:val="37B750D7"/>
    <w:rsid w:val="3AF92C81"/>
    <w:rsid w:val="3D266B69"/>
    <w:rsid w:val="425E014E"/>
    <w:rsid w:val="42D97A98"/>
    <w:rsid w:val="43990BAC"/>
    <w:rsid w:val="43C2661F"/>
    <w:rsid w:val="44E75DF0"/>
    <w:rsid w:val="46C6154B"/>
    <w:rsid w:val="477E3A2F"/>
    <w:rsid w:val="47991E04"/>
    <w:rsid w:val="47C37237"/>
    <w:rsid w:val="47C44AC2"/>
    <w:rsid w:val="48342189"/>
    <w:rsid w:val="4AAC010B"/>
    <w:rsid w:val="4D3D0508"/>
    <w:rsid w:val="4DE91A88"/>
    <w:rsid w:val="4F104EAC"/>
    <w:rsid w:val="4F6C16F9"/>
    <w:rsid w:val="50BD5FEE"/>
    <w:rsid w:val="52392E05"/>
    <w:rsid w:val="5543112D"/>
    <w:rsid w:val="55772440"/>
    <w:rsid w:val="5A6E4628"/>
    <w:rsid w:val="5C49212E"/>
    <w:rsid w:val="5CD849D1"/>
    <w:rsid w:val="5D140335"/>
    <w:rsid w:val="5D9643CA"/>
    <w:rsid w:val="61006171"/>
    <w:rsid w:val="62CD3F75"/>
    <w:rsid w:val="62FB3554"/>
    <w:rsid w:val="637C4756"/>
    <w:rsid w:val="63A95F6C"/>
    <w:rsid w:val="642F2115"/>
    <w:rsid w:val="66104FB2"/>
    <w:rsid w:val="6799719A"/>
    <w:rsid w:val="67B062B6"/>
    <w:rsid w:val="68CD1564"/>
    <w:rsid w:val="692B1946"/>
    <w:rsid w:val="6D617FD9"/>
    <w:rsid w:val="6F6D1C28"/>
    <w:rsid w:val="70FF55D7"/>
    <w:rsid w:val="728C12B7"/>
    <w:rsid w:val="74E53E85"/>
    <w:rsid w:val="7612260D"/>
    <w:rsid w:val="77004100"/>
    <w:rsid w:val="77B16134"/>
    <w:rsid w:val="79692C1B"/>
    <w:rsid w:val="7AF2570E"/>
    <w:rsid w:val="7B782865"/>
    <w:rsid w:val="7D7A26E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6"/>
    <w:semiHidden/>
    <w:unhideWhenUsed/>
    <w:qFormat/>
    <w:uiPriority w:val="99"/>
  </w:style>
  <w:style w:type="paragraph" w:styleId="8">
    <w:name w:val="Body Text"/>
    <w:basedOn w:val="1"/>
    <w:link w:val="40"/>
    <w:qFormat/>
    <w:uiPriority w:val="0"/>
    <w:pPr>
      <w:widowControl w:val="0"/>
      <w:adjustRightInd/>
      <w:snapToGrid/>
      <w:spacing w:after="0"/>
      <w:jc w:val="both"/>
    </w:pPr>
    <w:rPr>
      <w:rFonts w:ascii="楷体_GB2312" w:hAnsi="Arial" w:eastAsia="楷体_GB2312"/>
      <w:kern w:val="2"/>
      <w:sz w:val="28"/>
      <w:szCs w:val="28"/>
    </w:rPr>
  </w:style>
  <w:style w:type="paragraph" w:styleId="9">
    <w:name w:val="index 4"/>
    <w:basedOn w:val="1"/>
    <w:next w:val="1"/>
    <w:qFormat/>
    <w:uiPriority w:val="99"/>
    <w:pPr>
      <w:ind w:left="600" w:leftChars="600"/>
    </w:pPr>
    <w:rPr>
      <w:rFonts w:ascii="Calibri" w:hAnsi="Calibri" w:eastAsia="宋体" w:cs="Times New Roman"/>
      <w:szCs w:val="24"/>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5"/>
    <w:semiHidden/>
    <w:unhideWhenUsed/>
    <w:qFormat/>
    <w:uiPriority w:val="99"/>
    <w:pPr>
      <w:spacing w:after="0"/>
    </w:pPr>
    <w:rPr>
      <w:sz w:val="18"/>
      <w:szCs w:val="18"/>
    </w:rPr>
  </w:style>
  <w:style w:type="paragraph" w:styleId="12">
    <w:name w:val="footer"/>
    <w:basedOn w:val="1"/>
    <w:link w:val="24"/>
    <w:unhideWhenUsed/>
    <w:qFormat/>
    <w:uiPriority w:val="99"/>
    <w:pPr>
      <w:tabs>
        <w:tab w:val="center" w:pos="4153"/>
        <w:tab w:val="right" w:pos="8306"/>
      </w:tabs>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0"/>
    <w:qFormat/>
    <w:uiPriority w:val="0"/>
    <w:pPr>
      <w:widowControl w:val="0"/>
      <w:adjustRightInd/>
      <w:snapToGrid/>
      <w:spacing w:before="240" w:after="60"/>
      <w:jc w:val="center"/>
      <w:outlineLvl w:val="0"/>
    </w:pPr>
    <w:rPr>
      <w:rFonts w:ascii="Cambria" w:hAnsi="Cambria"/>
      <w:b/>
      <w:bCs/>
      <w:kern w:val="2"/>
      <w:sz w:val="32"/>
      <w:szCs w:val="32"/>
    </w:rPr>
  </w:style>
  <w:style w:type="paragraph" w:styleId="17">
    <w:name w:val="annotation subject"/>
    <w:basedOn w:val="7"/>
    <w:next w:val="7"/>
    <w:link w:val="47"/>
    <w:semiHidden/>
    <w:unhideWhenUsed/>
    <w:qFormat/>
    <w:uiPriority w:val="99"/>
    <w:rPr>
      <w:b/>
      <w:bCs/>
    </w:rPr>
  </w:style>
  <w:style w:type="character" w:styleId="20">
    <w:name w:val="page number"/>
    <w:basedOn w:val="19"/>
    <w:qFormat/>
    <w:uiPriority w:val="0"/>
  </w:style>
  <w:style w:type="character" w:styleId="21">
    <w:name w:val="Hyperlink"/>
    <w:qFormat/>
    <w:uiPriority w:val="99"/>
    <w:rPr>
      <w:color w:val="0000FF"/>
      <w:u w:val="single"/>
    </w:rPr>
  </w:style>
  <w:style w:type="character" w:styleId="22">
    <w:name w:val="annotation reference"/>
    <w:basedOn w:val="19"/>
    <w:semiHidden/>
    <w:unhideWhenUsed/>
    <w:qFormat/>
    <w:uiPriority w:val="99"/>
    <w:rPr>
      <w:sz w:val="21"/>
      <w:szCs w:val="21"/>
    </w:rPr>
  </w:style>
  <w:style w:type="character" w:customStyle="1" w:styleId="23">
    <w:name w:val="页眉 Char"/>
    <w:basedOn w:val="19"/>
    <w:link w:val="13"/>
    <w:qFormat/>
    <w:uiPriority w:val="99"/>
    <w:rPr>
      <w:rFonts w:ascii="Tahoma" w:hAnsi="Tahoma"/>
      <w:sz w:val="18"/>
      <w:szCs w:val="18"/>
    </w:rPr>
  </w:style>
  <w:style w:type="character" w:customStyle="1" w:styleId="24">
    <w:name w:val="页脚 Char"/>
    <w:basedOn w:val="19"/>
    <w:link w:val="12"/>
    <w:qFormat/>
    <w:uiPriority w:val="99"/>
    <w:rPr>
      <w:rFonts w:ascii="Tahoma" w:hAnsi="Tahoma"/>
      <w:sz w:val="18"/>
      <w:szCs w:val="18"/>
    </w:rPr>
  </w:style>
  <w:style w:type="character" w:customStyle="1" w:styleId="25">
    <w:name w:val="标题 1 Char"/>
    <w:basedOn w:val="19"/>
    <w:link w:val="2"/>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 Char"/>
    <w:basedOn w:val="19"/>
    <w:link w:val="4"/>
    <w:qFormat/>
    <w:uiPriority w:val="0"/>
    <w:rPr>
      <w:rFonts w:ascii="Times New Roman" w:hAnsi="Times New Roman" w:eastAsia="宋体" w:cs="Times New Roman"/>
      <w:b/>
      <w:bCs/>
      <w:kern w:val="2"/>
      <w:sz w:val="32"/>
      <w:szCs w:val="32"/>
    </w:rPr>
  </w:style>
  <w:style w:type="character" w:customStyle="1" w:styleId="29">
    <w:name w:val="标题 4 Char"/>
    <w:basedOn w:val="19"/>
    <w:link w:val="6"/>
    <w:qFormat/>
    <w:uiPriority w:val="9"/>
    <w:rPr>
      <w:rFonts w:ascii="Arial" w:hAnsi="Arial" w:eastAsia="黑体" w:cs="Arial"/>
      <w:b/>
      <w:bCs/>
      <w:kern w:val="2"/>
      <w:sz w:val="28"/>
      <w:szCs w:val="28"/>
    </w:rPr>
  </w:style>
  <w:style w:type="character" w:customStyle="1" w:styleId="30">
    <w:name w:val="标题 Char1"/>
    <w:basedOn w:val="19"/>
    <w:link w:val="16"/>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 Char"/>
    <w:link w:val="5"/>
    <w:qFormat/>
    <w:uiPriority w:val="0"/>
    <w:rPr>
      <w:kern w:val="2"/>
      <w:sz w:val="21"/>
      <w:szCs w:val="21"/>
    </w:rPr>
  </w:style>
  <w:style w:type="character" w:customStyle="1" w:styleId="35">
    <w:name w:val="标题 Char"/>
    <w:basedOn w:val="19"/>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 Char"/>
    <w:link w:val="10"/>
    <w:qFormat/>
    <w:uiPriority w:val="0"/>
    <w:rPr>
      <w:rFonts w:ascii="宋体" w:hAnsi="Courier New" w:cs="Courier New"/>
      <w:kern w:val="2"/>
      <w:sz w:val="21"/>
      <w:szCs w:val="21"/>
    </w:rPr>
  </w:style>
  <w:style w:type="character" w:customStyle="1" w:styleId="38">
    <w:name w:val="纯文本 Char1"/>
    <w:basedOn w:val="19"/>
    <w:semiHidden/>
    <w:qFormat/>
    <w:uiPriority w:val="99"/>
    <w:rPr>
      <w:rFonts w:ascii="宋体" w:hAnsi="Courier New" w:eastAsia="宋体" w:cs="Courier New"/>
      <w:sz w:val="21"/>
      <w:szCs w:val="21"/>
    </w:rPr>
  </w:style>
  <w:style w:type="character" w:customStyle="1" w:styleId="39">
    <w:name w:val="标题 2 Char"/>
    <w:basedOn w:val="19"/>
    <w:link w:val="3"/>
    <w:semiHidden/>
    <w:qFormat/>
    <w:uiPriority w:val="9"/>
    <w:rPr>
      <w:rFonts w:asciiTheme="majorHAnsi" w:hAnsiTheme="majorHAnsi" w:eastAsiaTheme="majorEastAsia" w:cstheme="majorBidi"/>
      <w:b/>
      <w:bCs/>
      <w:sz w:val="32"/>
      <w:szCs w:val="32"/>
    </w:rPr>
  </w:style>
  <w:style w:type="character" w:customStyle="1" w:styleId="40">
    <w:name w:val="正文文本 Char"/>
    <w:link w:val="8"/>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9"/>
    <w:semiHidden/>
    <w:qFormat/>
    <w:uiPriority w:val="99"/>
    <w:rPr>
      <w:rFonts w:ascii="Tahoma" w:hAnsi="Tahoma"/>
    </w:rPr>
  </w:style>
  <w:style w:type="character" w:customStyle="1" w:styleId="45">
    <w:name w:val="批注框文本 Char"/>
    <w:basedOn w:val="19"/>
    <w:link w:val="11"/>
    <w:semiHidden/>
    <w:qFormat/>
    <w:uiPriority w:val="99"/>
    <w:rPr>
      <w:rFonts w:ascii="Tahoma" w:hAnsi="Tahoma"/>
      <w:sz w:val="18"/>
      <w:szCs w:val="18"/>
    </w:rPr>
  </w:style>
  <w:style w:type="character" w:customStyle="1" w:styleId="46">
    <w:name w:val="批注文字 Char"/>
    <w:basedOn w:val="19"/>
    <w:link w:val="7"/>
    <w:semiHidden/>
    <w:qFormat/>
    <w:uiPriority w:val="99"/>
    <w:rPr>
      <w:rFonts w:ascii="Tahoma" w:hAnsi="Tahoma"/>
    </w:rPr>
  </w:style>
  <w:style w:type="character" w:customStyle="1" w:styleId="47">
    <w:name w:val="批注主题 Char"/>
    <w:basedOn w:val="46"/>
    <w:link w:val="17"/>
    <w:semiHidden/>
    <w:qFormat/>
    <w:uiPriority w:val="99"/>
    <w:rPr>
      <w:rFonts w:ascii="Tahoma" w:hAnsi="Tahoma"/>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AC0387-9331-4F96-A51B-7C70FD85CB4B}">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36</Pages>
  <Words>2268</Words>
  <Characters>12933</Characters>
  <Lines>107</Lines>
  <Paragraphs>30</Paragraphs>
  <TotalTime>6</TotalTime>
  <ScaleCrop>false</ScaleCrop>
  <LinksUpToDate>false</LinksUpToDate>
  <CharactersWithSpaces>15171</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2019-07-05T01:04:00Z</dcterms:created>
  <dc:creator>chenle</dc:creator>
  <cp:lastModifiedBy>lenovo</cp:lastModifiedBy>
  <cp:lastPrinted>2019-07-05T00:38:00Z</cp:lastPrinted>
  <dcterms:modified xsi:type="dcterms:W3CDTF">2019-08-01T06:18:14Z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