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E0" w:rsidRDefault="009B00D7">
      <w:pPr>
        <w:pStyle w:val="1"/>
        <w:tabs>
          <w:tab w:val="left" w:pos="0"/>
        </w:tabs>
        <w:autoSpaceDE w:val="0"/>
        <w:autoSpaceDN w:val="0"/>
        <w:adjustRightInd w:val="0"/>
        <w:spacing w:before="0" w:after="0" w:line="240" w:lineRule="auto"/>
        <w:jc w:val="center"/>
        <w:rPr>
          <w:rFonts w:ascii="微软雅黑" w:eastAsia="微软雅黑" w:hAnsi="微软雅黑" w:cs="微软雅黑"/>
          <w:sz w:val="28"/>
          <w:szCs w:val="28"/>
        </w:rPr>
      </w:pPr>
      <w:bookmarkStart w:id="0" w:name="_Toc28359042"/>
      <w:bookmarkStart w:id="1" w:name="_Toc35393832"/>
      <w:bookmarkStart w:id="2" w:name="_GoBack"/>
      <w:r>
        <w:rPr>
          <w:rFonts w:ascii="微软雅黑" w:eastAsia="微软雅黑" w:hAnsi="微软雅黑" w:cs="微软雅黑" w:hint="eastAsia"/>
          <w:sz w:val="28"/>
          <w:szCs w:val="28"/>
        </w:rPr>
        <w:t>南京医科大学网络教学平台（智慧教学系统）升级开发服务项目</w:t>
      </w:r>
      <w:bookmarkEnd w:id="2"/>
      <w:r>
        <w:rPr>
          <w:rFonts w:ascii="微软雅黑" w:eastAsia="微软雅黑" w:hAnsi="微软雅黑" w:cs="微软雅黑" w:hint="eastAsia"/>
          <w:sz w:val="28"/>
          <w:szCs w:val="28"/>
        </w:rPr>
        <w:t>单一来源采购公示</w:t>
      </w:r>
      <w:bookmarkEnd w:id="0"/>
      <w:bookmarkEnd w:id="1"/>
    </w:p>
    <w:p w:rsidR="001A0EE0" w:rsidRDefault="009B00D7">
      <w:pPr>
        <w:rPr>
          <w:rFonts w:ascii="微软雅黑" w:eastAsia="微软雅黑" w:hAnsi="微软雅黑" w:cs="微软雅黑"/>
          <w:b/>
          <w:bCs/>
          <w:sz w:val="24"/>
          <w:szCs w:val="24"/>
        </w:rPr>
      </w:pPr>
      <w:r>
        <w:rPr>
          <w:rFonts w:ascii="微软雅黑" w:eastAsia="微软雅黑" w:hAnsi="微软雅黑" w:cs="微软雅黑" w:hint="eastAsia"/>
          <w:b/>
          <w:bCs/>
          <w:sz w:val="24"/>
          <w:szCs w:val="24"/>
        </w:rPr>
        <w:t>一、项目信息</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b/>
          <w:bCs/>
          <w:sz w:val="24"/>
          <w:szCs w:val="24"/>
        </w:rPr>
        <w:t>采购人：</w:t>
      </w:r>
      <w:r>
        <w:rPr>
          <w:rFonts w:ascii="微软雅黑" w:eastAsia="微软雅黑" w:hAnsi="微软雅黑" w:cs="微软雅黑" w:hint="eastAsia"/>
          <w:sz w:val="24"/>
          <w:szCs w:val="24"/>
        </w:rPr>
        <w:t>南京医科大学</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b/>
          <w:bCs/>
          <w:sz w:val="24"/>
          <w:szCs w:val="24"/>
        </w:rPr>
        <w:t>项目名称：</w:t>
      </w:r>
      <w:r>
        <w:rPr>
          <w:rFonts w:ascii="微软雅黑" w:eastAsia="微软雅黑" w:hAnsi="微软雅黑" w:cs="微软雅黑" w:hint="eastAsia"/>
          <w:sz w:val="24"/>
          <w:szCs w:val="24"/>
        </w:rPr>
        <w:t>南京医科大学网络教学平台（智慧教学系统）升级开发服务</w:t>
      </w:r>
    </w:p>
    <w:p w:rsidR="001A0EE0" w:rsidRDefault="009B00D7">
      <w:pPr>
        <w:ind w:firstLineChars="200" w:firstLine="480"/>
      </w:pPr>
      <w:r>
        <w:rPr>
          <w:rFonts w:ascii="微软雅黑" w:eastAsia="微软雅黑" w:hAnsi="微软雅黑" w:cs="微软雅黑" w:hint="eastAsia"/>
          <w:b/>
          <w:bCs/>
          <w:sz w:val="24"/>
          <w:szCs w:val="24"/>
        </w:rPr>
        <w:t>拟采购的货物或服务的说明：</w:t>
      </w:r>
      <w:r>
        <w:rPr>
          <w:rFonts w:ascii="微软雅黑" w:eastAsia="微软雅黑" w:hAnsi="微软雅黑" w:cs="微软雅黑" w:hint="eastAsia"/>
          <w:sz w:val="24"/>
          <w:szCs w:val="24"/>
        </w:rPr>
        <w:t>本项目基于南京医科大学网络教学平台（智慧教学系统</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进行开发，升级服务通过增加定制考试系统、移动互联网技术与大数据挖掘分析技术，实现无纸化考试、考试数据智能智能分析的功能，将高校信息化考试系统连贯成一个无缝的交互系统，实现针对高校的集课堂教学与无纸化考试一体的模式，有效落地达到教师能够进行线下课程教学、线上无纸化智能组卷，学生线下学习、线上考试、实时数据分析、反馈、评估等全流程环节的目的，并实现所有数据的整合，最终建设成一个属于学校的理念领先、技术先进、国际化特色突出的集线下教学线上无纸化智能组卷考试的信息化系统。考试系统需支持网页端考试、客户端考试及移动</w:t>
      </w:r>
      <w:r>
        <w:rPr>
          <w:rFonts w:ascii="微软雅黑" w:eastAsia="微软雅黑" w:hAnsi="微软雅黑" w:cs="微软雅黑" w:hint="eastAsia"/>
          <w:sz w:val="24"/>
          <w:szCs w:val="24"/>
        </w:rPr>
        <w:t>端考试，全面满足用户的不同使用需求，通过多途径多终端解决用户的实际问题。</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b/>
          <w:bCs/>
          <w:sz w:val="24"/>
          <w:szCs w:val="24"/>
        </w:rPr>
        <w:t>拟采购的货物或服务的预算金额：</w:t>
      </w:r>
      <w:r>
        <w:rPr>
          <w:rFonts w:ascii="微软雅黑" w:eastAsia="微软雅黑" w:hAnsi="微软雅黑" w:cs="微软雅黑" w:hint="eastAsia"/>
          <w:sz w:val="24"/>
          <w:szCs w:val="24"/>
        </w:rPr>
        <w:t>人民币叁拾万零伍仟圆整（</w:t>
      </w:r>
      <w:r>
        <w:rPr>
          <w:rFonts w:ascii="微软雅黑" w:eastAsia="微软雅黑" w:hAnsi="微软雅黑" w:cs="微软雅黑" w:hint="eastAsia"/>
          <w:sz w:val="24"/>
          <w:szCs w:val="24"/>
        </w:rPr>
        <w:t>¥30.5</w:t>
      </w:r>
      <w:r>
        <w:rPr>
          <w:rFonts w:ascii="微软雅黑" w:eastAsia="微软雅黑" w:hAnsi="微软雅黑" w:cs="微软雅黑" w:hint="eastAsia"/>
          <w:sz w:val="24"/>
          <w:szCs w:val="24"/>
        </w:rPr>
        <w:t>万元</w:t>
      </w:r>
      <w:r>
        <w:rPr>
          <w:rFonts w:ascii="微软雅黑" w:eastAsia="微软雅黑" w:hAnsi="微软雅黑" w:cs="微软雅黑" w:hint="eastAsia"/>
          <w:sz w:val="24"/>
          <w:szCs w:val="24"/>
        </w:rPr>
        <w:t>）</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b/>
          <w:bCs/>
          <w:sz w:val="24"/>
          <w:szCs w:val="24"/>
        </w:rPr>
        <w:t>采用单一来源采购方式的原因及说明：</w:t>
      </w:r>
      <w:r>
        <w:rPr>
          <w:rFonts w:ascii="微软雅黑" w:eastAsia="微软雅黑" w:hAnsi="微软雅黑" w:cs="微软雅黑" w:hint="eastAsia"/>
          <w:sz w:val="24"/>
          <w:szCs w:val="24"/>
        </w:rPr>
        <w:t>本项目需要在原智慧教学系统基础上升级开发定制考试系统、无纸化考试、试卷数据智能分析等功能模块，供应商需具有原系统的架构设计、原有数据结构、原系统基础数据对接、已有功能模块设计与实现技术、与原系统无缝对接、快速理解用户新功能需求的能力。同时本项目</w:t>
      </w:r>
      <w:r>
        <w:rPr>
          <w:rFonts w:ascii="微软雅黑" w:eastAsia="微软雅黑" w:hAnsi="微软雅黑" w:cs="微软雅黑" w:hint="eastAsia"/>
          <w:sz w:val="24"/>
          <w:szCs w:val="24"/>
        </w:rPr>
        <w:t>交付时间较紧迫。综合以上要求和原因，建议采用单一来源方式，由原开发单位继续本项目的升级功</w:t>
      </w:r>
      <w:r>
        <w:rPr>
          <w:rFonts w:ascii="微软雅黑" w:eastAsia="微软雅黑" w:hAnsi="微软雅黑" w:cs="微软雅黑" w:hint="eastAsia"/>
          <w:sz w:val="24"/>
          <w:szCs w:val="24"/>
        </w:rPr>
        <w:t>能开发工作。</w:t>
      </w:r>
    </w:p>
    <w:p w:rsidR="001A0EE0" w:rsidRDefault="009B00D7">
      <w:pPr>
        <w:rPr>
          <w:rFonts w:ascii="微软雅黑" w:eastAsia="微软雅黑" w:hAnsi="微软雅黑" w:cs="微软雅黑"/>
          <w:b/>
          <w:bCs/>
          <w:sz w:val="24"/>
          <w:szCs w:val="24"/>
        </w:rPr>
      </w:pPr>
      <w:r>
        <w:rPr>
          <w:rFonts w:ascii="微软雅黑" w:eastAsia="微软雅黑" w:hAnsi="微软雅黑" w:cs="微软雅黑" w:hint="eastAsia"/>
          <w:b/>
          <w:bCs/>
          <w:sz w:val="24"/>
          <w:szCs w:val="24"/>
        </w:rPr>
        <w:lastRenderedPageBreak/>
        <w:t>二、拟定供应商信息</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名称：北京世纪超星信息技术发展有限责任公司</w:t>
      </w:r>
    </w:p>
    <w:p w:rsidR="001A0EE0" w:rsidRDefault="009B00D7">
      <w:pPr>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地址：北京市海淀区上地三街</w:t>
      </w:r>
      <w:r>
        <w:rPr>
          <w:rFonts w:ascii="微软雅黑" w:eastAsia="微软雅黑" w:hAnsi="微软雅黑" w:cs="微软雅黑" w:hint="eastAsia"/>
          <w:sz w:val="24"/>
          <w:szCs w:val="24"/>
        </w:rPr>
        <w:t>9</w:t>
      </w:r>
      <w:r>
        <w:rPr>
          <w:rFonts w:ascii="微软雅黑" w:eastAsia="微软雅黑" w:hAnsi="微软雅黑" w:cs="微软雅黑" w:hint="eastAsia"/>
          <w:sz w:val="24"/>
          <w:szCs w:val="24"/>
        </w:rPr>
        <w:t>号金隅嘉华大厦</w:t>
      </w:r>
      <w:r>
        <w:rPr>
          <w:rFonts w:ascii="微软雅黑" w:eastAsia="微软雅黑" w:hAnsi="微软雅黑" w:cs="微软雅黑" w:hint="eastAsia"/>
          <w:sz w:val="24"/>
          <w:szCs w:val="24"/>
        </w:rPr>
        <w:t>C</w:t>
      </w:r>
      <w:r>
        <w:rPr>
          <w:rFonts w:ascii="微软雅黑" w:eastAsia="微软雅黑" w:hAnsi="微软雅黑" w:cs="微软雅黑" w:hint="eastAsia"/>
          <w:sz w:val="24"/>
          <w:szCs w:val="24"/>
        </w:rPr>
        <w:t>座</w:t>
      </w:r>
      <w:r>
        <w:rPr>
          <w:rFonts w:ascii="微软雅黑" w:eastAsia="微软雅黑" w:hAnsi="微软雅黑" w:cs="微软雅黑" w:hint="eastAsia"/>
          <w:sz w:val="24"/>
          <w:szCs w:val="24"/>
        </w:rPr>
        <w:t>710</w:t>
      </w:r>
      <w:r>
        <w:rPr>
          <w:rFonts w:ascii="微软雅黑" w:eastAsia="微软雅黑" w:hAnsi="微软雅黑" w:cs="微软雅黑" w:hint="eastAsia"/>
          <w:sz w:val="24"/>
          <w:szCs w:val="24"/>
        </w:rPr>
        <w:t>室</w:t>
      </w:r>
    </w:p>
    <w:p w:rsidR="001A0EE0" w:rsidRDefault="009B00D7">
      <w:pPr>
        <w:rPr>
          <w:rFonts w:ascii="微软雅黑" w:eastAsia="微软雅黑" w:hAnsi="微软雅黑" w:cs="微软雅黑"/>
          <w:b/>
          <w:bCs/>
          <w:sz w:val="24"/>
          <w:szCs w:val="24"/>
        </w:rPr>
      </w:pPr>
      <w:r>
        <w:rPr>
          <w:rFonts w:ascii="微软雅黑" w:eastAsia="微软雅黑" w:hAnsi="微软雅黑" w:cs="微软雅黑" w:hint="eastAsia"/>
          <w:b/>
          <w:bCs/>
          <w:sz w:val="24"/>
          <w:szCs w:val="24"/>
        </w:rPr>
        <w:t>三、公示期限</w:t>
      </w:r>
    </w:p>
    <w:p w:rsidR="001A0EE0" w:rsidRDefault="009B00D7">
      <w:pPr>
        <w:pStyle w:val="a6"/>
        <w:ind w:leftChars="-5" w:left="-10" w:firstLine="480"/>
        <w:rPr>
          <w:rFonts w:ascii="微软雅黑" w:eastAsia="微软雅黑" w:hAnsi="微软雅黑" w:cs="微软雅黑"/>
          <w:sz w:val="24"/>
          <w:szCs w:val="24"/>
        </w:rPr>
      </w:pP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16</w:t>
      </w:r>
      <w:r>
        <w:rPr>
          <w:rFonts w:ascii="微软雅黑" w:eastAsia="微软雅黑" w:hAnsi="微软雅黑" w:cs="微软雅黑" w:hint="eastAsia"/>
          <w:sz w:val="24"/>
          <w:szCs w:val="24"/>
        </w:rPr>
        <w:t>日至</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日</w:t>
      </w:r>
    </w:p>
    <w:p w:rsidR="001A0EE0" w:rsidRDefault="009B00D7">
      <w:pPr>
        <w:numPr>
          <w:ilvl w:val="0"/>
          <w:numId w:val="1"/>
        </w:numPr>
        <w:rPr>
          <w:rFonts w:ascii="微软雅黑" w:eastAsia="微软雅黑" w:hAnsi="微软雅黑" w:cs="微软雅黑"/>
          <w:b/>
          <w:bCs/>
          <w:sz w:val="24"/>
          <w:szCs w:val="24"/>
        </w:rPr>
      </w:pPr>
      <w:r>
        <w:rPr>
          <w:rFonts w:ascii="微软雅黑" w:eastAsia="微软雅黑" w:hAnsi="微软雅黑" w:cs="微软雅黑" w:hint="eastAsia"/>
          <w:b/>
          <w:bCs/>
          <w:sz w:val="24"/>
          <w:szCs w:val="24"/>
        </w:rPr>
        <w:t>其他补充事宜：</w:t>
      </w:r>
    </w:p>
    <w:p w:rsidR="001A0EE0" w:rsidRDefault="009B00D7">
      <w:pPr>
        <w:rPr>
          <w:rFonts w:ascii="微软雅黑" w:eastAsia="微软雅黑" w:hAnsi="微软雅黑" w:cs="微软雅黑"/>
          <w:sz w:val="24"/>
          <w:szCs w:val="24"/>
        </w:rPr>
      </w:pPr>
      <w:r>
        <w:rPr>
          <w:rFonts w:ascii="微软雅黑" w:eastAsia="微软雅黑" w:hAnsi="微软雅黑" w:cs="微软雅黑" w:hint="eastAsia"/>
          <w:sz w:val="24"/>
          <w:szCs w:val="24"/>
        </w:rPr>
        <w:t>论证人员名单如下：</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5850"/>
        <w:gridCol w:w="1478"/>
      </w:tblGrid>
      <w:tr w:rsidR="001A0EE0">
        <w:trPr>
          <w:trHeight w:val="584"/>
        </w:trPr>
        <w:tc>
          <w:tcPr>
            <w:tcW w:w="167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姓</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名</w:t>
            </w:r>
          </w:p>
        </w:tc>
        <w:tc>
          <w:tcPr>
            <w:tcW w:w="585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单</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位</w:t>
            </w:r>
          </w:p>
        </w:tc>
        <w:tc>
          <w:tcPr>
            <w:tcW w:w="1478"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职称</w:t>
            </w:r>
          </w:p>
        </w:tc>
      </w:tr>
      <w:tr w:rsidR="001A0EE0">
        <w:trPr>
          <w:trHeight w:val="584"/>
        </w:trPr>
        <w:tc>
          <w:tcPr>
            <w:tcW w:w="167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于长彬</w:t>
            </w:r>
          </w:p>
        </w:tc>
        <w:tc>
          <w:tcPr>
            <w:tcW w:w="585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南京市秦淮区月牙湖街道总工会</w:t>
            </w:r>
          </w:p>
        </w:tc>
        <w:tc>
          <w:tcPr>
            <w:tcW w:w="1478"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高工</w:t>
            </w:r>
          </w:p>
        </w:tc>
      </w:tr>
      <w:tr w:rsidR="001A0EE0">
        <w:trPr>
          <w:trHeight w:val="584"/>
        </w:trPr>
        <w:tc>
          <w:tcPr>
            <w:tcW w:w="167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冯中华</w:t>
            </w:r>
          </w:p>
        </w:tc>
        <w:tc>
          <w:tcPr>
            <w:tcW w:w="585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水利部交通运输部国家能源局南京水利科学研究院</w:t>
            </w:r>
          </w:p>
        </w:tc>
        <w:tc>
          <w:tcPr>
            <w:tcW w:w="1478"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高工</w:t>
            </w:r>
          </w:p>
        </w:tc>
      </w:tr>
      <w:tr w:rsidR="001A0EE0">
        <w:trPr>
          <w:trHeight w:val="584"/>
        </w:trPr>
        <w:tc>
          <w:tcPr>
            <w:tcW w:w="167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樊龙华</w:t>
            </w:r>
          </w:p>
        </w:tc>
        <w:tc>
          <w:tcPr>
            <w:tcW w:w="5850"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南京市博物总馆</w:t>
            </w:r>
          </w:p>
        </w:tc>
        <w:tc>
          <w:tcPr>
            <w:tcW w:w="1478" w:type="dxa"/>
            <w:vAlign w:val="center"/>
          </w:tcPr>
          <w:p w:rsidR="001A0EE0" w:rsidRDefault="009B00D7">
            <w:pPr>
              <w:spacing w:line="44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高工</w:t>
            </w:r>
          </w:p>
        </w:tc>
      </w:tr>
    </w:tbl>
    <w:p w:rsidR="001A0EE0" w:rsidRDefault="009B00D7">
      <w:pPr>
        <w:rPr>
          <w:rFonts w:ascii="微软雅黑" w:eastAsia="微软雅黑" w:hAnsi="微软雅黑" w:cs="微软雅黑"/>
          <w:b/>
          <w:bCs/>
          <w:sz w:val="24"/>
          <w:szCs w:val="24"/>
        </w:rPr>
      </w:pPr>
      <w:r>
        <w:rPr>
          <w:rFonts w:ascii="微软雅黑" w:eastAsia="微软雅黑" w:hAnsi="微软雅黑" w:cs="微软雅黑" w:hint="eastAsia"/>
          <w:b/>
          <w:bCs/>
          <w:sz w:val="24"/>
          <w:szCs w:val="24"/>
        </w:rPr>
        <w:t>五、联系方式</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采购人</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联</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系</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人：</w:t>
      </w:r>
      <w:r>
        <w:rPr>
          <w:rFonts w:ascii="微软雅黑" w:eastAsia="微软雅黑" w:hAnsi="微软雅黑" w:cs="微软雅黑" w:hint="eastAsia"/>
          <w:sz w:val="24"/>
          <w:szCs w:val="24"/>
        </w:rPr>
        <w:t>南京医科大学</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联系地址：南京市江宁区龙眠大道</w:t>
      </w:r>
      <w:r>
        <w:rPr>
          <w:rFonts w:ascii="微软雅黑" w:eastAsia="微软雅黑" w:hAnsi="微软雅黑" w:cs="微软雅黑" w:hint="eastAsia"/>
          <w:sz w:val="24"/>
          <w:szCs w:val="24"/>
        </w:rPr>
        <w:t>101</w:t>
      </w:r>
      <w:r>
        <w:rPr>
          <w:rFonts w:ascii="微软雅黑" w:eastAsia="微软雅黑" w:hAnsi="微软雅黑" w:cs="微软雅黑" w:hint="eastAsia"/>
          <w:sz w:val="24"/>
          <w:szCs w:val="24"/>
        </w:rPr>
        <w:t>号</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采购代理机构</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联</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系</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人：</w:t>
      </w:r>
      <w:r>
        <w:rPr>
          <w:rFonts w:ascii="微软雅黑" w:eastAsia="微软雅黑" w:hAnsi="微软雅黑" w:cs="微软雅黑" w:hint="eastAsia"/>
          <w:sz w:val="24"/>
          <w:szCs w:val="24"/>
        </w:rPr>
        <w:t>江苏省华采招标有限公司</w:t>
      </w:r>
    </w:p>
    <w:p w:rsidR="001A0EE0" w:rsidRDefault="009B00D7">
      <w:pPr>
        <w:ind w:firstLineChars="202" w:firstLine="485"/>
        <w:rPr>
          <w:rFonts w:ascii="微软雅黑" w:eastAsia="微软雅黑" w:hAnsi="微软雅黑" w:cs="微软雅黑"/>
          <w:sz w:val="24"/>
          <w:szCs w:val="24"/>
        </w:rPr>
      </w:pPr>
      <w:r>
        <w:rPr>
          <w:rFonts w:ascii="微软雅黑" w:eastAsia="微软雅黑" w:hAnsi="微软雅黑" w:cs="微软雅黑" w:hint="eastAsia"/>
          <w:sz w:val="24"/>
          <w:szCs w:val="24"/>
        </w:rPr>
        <w:t>联系地址：南京市建邺区嘉陵江东街</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号新城科技园综合体</w:t>
      </w:r>
      <w:r>
        <w:rPr>
          <w:rFonts w:ascii="微软雅黑" w:eastAsia="微软雅黑" w:hAnsi="微软雅黑" w:cs="微软雅黑" w:hint="eastAsia"/>
          <w:sz w:val="24"/>
          <w:szCs w:val="24"/>
        </w:rPr>
        <w:t>B3</w:t>
      </w:r>
      <w:r>
        <w:rPr>
          <w:rFonts w:ascii="微软雅黑" w:eastAsia="微软雅黑" w:hAnsi="微软雅黑" w:cs="微软雅黑" w:hint="eastAsia"/>
          <w:sz w:val="24"/>
          <w:szCs w:val="24"/>
        </w:rPr>
        <w:t>栋</w:t>
      </w:r>
      <w:r>
        <w:rPr>
          <w:rFonts w:ascii="微软雅黑" w:eastAsia="微软雅黑" w:hAnsi="微软雅黑" w:cs="微软雅黑" w:hint="eastAsia"/>
          <w:sz w:val="24"/>
          <w:szCs w:val="24"/>
        </w:rPr>
        <w:t>16</w:t>
      </w:r>
      <w:r>
        <w:rPr>
          <w:rFonts w:ascii="微软雅黑" w:eastAsia="微软雅黑" w:hAnsi="微软雅黑" w:cs="微软雅黑" w:hint="eastAsia"/>
          <w:sz w:val="24"/>
          <w:szCs w:val="24"/>
        </w:rPr>
        <w:t>层</w:t>
      </w:r>
    </w:p>
    <w:p w:rsidR="001A0EE0" w:rsidRDefault="009B00D7">
      <w:pPr>
        <w:ind w:firstLineChars="202" w:firstLine="485"/>
        <w:rPr>
          <w:rFonts w:ascii="微软雅黑" w:eastAsia="微软雅黑" w:hAnsi="微软雅黑" w:cs="微软雅黑"/>
          <w:sz w:val="24"/>
          <w:szCs w:val="24"/>
        </w:rPr>
        <w:sectPr w:rsidR="001A0EE0">
          <w:pgSz w:w="11906" w:h="16838"/>
          <w:pgMar w:top="1440" w:right="1800" w:bottom="1440" w:left="1800" w:header="851" w:footer="992" w:gutter="0"/>
          <w:cols w:space="425"/>
          <w:docGrid w:type="lines" w:linePitch="312"/>
        </w:sectPr>
      </w:pPr>
      <w:r>
        <w:rPr>
          <w:rFonts w:ascii="微软雅黑" w:eastAsia="微软雅黑" w:hAnsi="微软雅黑" w:cs="微软雅黑" w:hint="eastAsia"/>
          <w:sz w:val="24"/>
          <w:szCs w:val="24"/>
        </w:rPr>
        <w:t>联系电话：</w:t>
      </w:r>
      <w:r>
        <w:rPr>
          <w:rFonts w:ascii="微软雅黑" w:eastAsia="微软雅黑" w:hAnsi="微软雅黑" w:cs="微软雅黑" w:hint="eastAsia"/>
          <w:sz w:val="24"/>
          <w:szCs w:val="24"/>
        </w:rPr>
        <w:t>徐工</w:t>
      </w:r>
      <w:r>
        <w:rPr>
          <w:rFonts w:ascii="微软雅黑" w:eastAsia="微软雅黑" w:hAnsi="微软雅黑" w:cs="微软雅黑" w:hint="eastAsia"/>
          <w:sz w:val="24"/>
          <w:szCs w:val="24"/>
        </w:rPr>
        <w:t>025-8360</w:t>
      </w:r>
      <w:r>
        <w:rPr>
          <w:rFonts w:ascii="微软雅黑" w:eastAsia="微软雅黑" w:hAnsi="微软雅黑" w:cs="微软雅黑" w:hint="eastAsia"/>
          <w:sz w:val="24"/>
          <w:szCs w:val="24"/>
        </w:rPr>
        <w:t>3368</w:t>
      </w:r>
    </w:p>
    <w:p w:rsidR="001A0EE0" w:rsidRDefault="009B00D7">
      <w:r>
        <w:rPr>
          <w:noProof/>
        </w:rPr>
        <w:lastRenderedPageBreak/>
        <w:drawing>
          <wp:inline distT="0" distB="0" distL="114300" distR="114300">
            <wp:extent cx="6852285" cy="9527540"/>
            <wp:effectExtent l="0" t="0" r="5715"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6852285" cy="9527540"/>
                    </a:xfrm>
                    <a:prstGeom prst="rect">
                      <a:avLst/>
                    </a:prstGeom>
                    <a:noFill/>
                    <a:ln>
                      <a:noFill/>
                    </a:ln>
                  </pic:spPr>
                </pic:pic>
              </a:graphicData>
            </a:graphic>
          </wp:inline>
        </w:drawing>
      </w:r>
      <w:r>
        <w:rPr>
          <w:rFonts w:hint="eastAsia"/>
        </w:rPr>
        <w:br w:type="page"/>
      </w:r>
    </w:p>
    <w:p w:rsidR="001A0EE0" w:rsidRDefault="009B00D7">
      <w:pPr>
        <w:pStyle w:val="2"/>
      </w:pPr>
      <w:r>
        <w:rPr>
          <w:noProof/>
        </w:rPr>
        <w:lastRenderedPageBreak/>
        <w:drawing>
          <wp:anchor distT="0" distB="0" distL="114300" distR="114300" simplePos="0" relativeHeight="251659264" behindDoc="0" locked="0" layoutInCell="1" allowOverlap="1">
            <wp:simplePos x="0" y="0"/>
            <wp:positionH relativeFrom="column">
              <wp:posOffset>118745</wp:posOffset>
            </wp:positionH>
            <wp:positionV relativeFrom="paragraph">
              <wp:posOffset>17145</wp:posOffset>
            </wp:positionV>
            <wp:extent cx="6754495" cy="9618980"/>
            <wp:effectExtent l="0" t="0" r="8255" b="127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6754495" cy="9618980"/>
                    </a:xfrm>
                    <a:prstGeom prst="rect">
                      <a:avLst/>
                    </a:prstGeom>
                    <a:noFill/>
                    <a:ln>
                      <a:noFill/>
                    </a:ln>
                  </pic:spPr>
                </pic:pic>
              </a:graphicData>
            </a:graphic>
          </wp:anchor>
        </w:drawing>
      </w:r>
    </w:p>
    <w:p w:rsidR="001A0EE0" w:rsidRDefault="009B00D7">
      <w:r>
        <w:rPr>
          <w:rFonts w:hint="eastAsia"/>
        </w:rPr>
        <w:br w:type="page"/>
      </w:r>
    </w:p>
    <w:p w:rsidR="001A0EE0" w:rsidRDefault="009B00D7">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069455" cy="9948545"/>
            <wp:effectExtent l="0" t="0" r="17145" b="14605"/>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7069455" cy="9948545"/>
                    </a:xfrm>
                    <a:prstGeom prst="rect">
                      <a:avLst/>
                    </a:prstGeom>
                    <a:noFill/>
                    <a:ln>
                      <a:noFill/>
                    </a:ln>
                  </pic:spPr>
                </pic:pic>
              </a:graphicData>
            </a:graphic>
          </wp:anchor>
        </w:drawing>
      </w:r>
    </w:p>
    <w:sectPr w:rsidR="001A0EE0">
      <w:pgSz w:w="11906" w:h="16838"/>
      <w:pgMar w:top="283" w:right="283" w:bottom="283" w:left="28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D7" w:rsidRDefault="009B00D7" w:rsidP="00403505">
      <w:r>
        <w:separator/>
      </w:r>
    </w:p>
  </w:endnote>
  <w:endnote w:type="continuationSeparator" w:id="0">
    <w:p w:rsidR="009B00D7" w:rsidRDefault="009B00D7" w:rsidP="0040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D7" w:rsidRDefault="009B00D7" w:rsidP="00403505">
      <w:r>
        <w:separator/>
      </w:r>
    </w:p>
  </w:footnote>
  <w:footnote w:type="continuationSeparator" w:id="0">
    <w:p w:rsidR="009B00D7" w:rsidRDefault="009B00D7" w:rsidP="00403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CA5F29"/>
    <w:multiLevelType w:val="singleLevel"/>
    <w:tmpl w:val="E9CA5F2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142148"/>
    <w:rsid w:val="001A0EE0"/>
    <w:rsid w:val="00403505"/>
    <w:rsid w:val="009B00D7"/>
    <w:rsid w:val="018F348A"/>
    <w:rsid w:val="03C12580"/>
    <w:rsid w:val="055C1117"/>
    <w:rsid w:val="09C0595F"/>
    <w:rsid w:val="09FD7FE7"/>
    <w:rsid w:val="0B5546BD"/>
    <w:rsid w:val="0C0D62B6"/>
    <w:rsid w:val="0CD90F10"/>
    <w:rsid w:val="0E1D3173"/>
    <w:rsid w:val="0E2207A0"/>
    <w:rsid w:val="0F233B66"/>
    <w:rsid w:val="0F963884"/>
    <w:rsid w:val="12973969"/>
    <w:rsid w:val="134845BC"/>
    <w:rsid w:val="13B742CC"/>
    <w:rsid w:val="13EC16A0"/>
    <w:rsid w:val="153B725B"/>
    <w:rsid w:val="15804D40"/>
    <w:rsid w:val="159051FA"/>
    <w:rsid w:val="16C83022"/>
    <w:rsid w:val="172736EF"/>
    <w:rsid w:val="183E018B"/>
    <w:rsid w:val="188E66DE"/>
    <w:rsid w:val="19CB6305"/>
    <w:rsid w:val="1A69751A"/>
    <w:rsid w:val="1AC00042"/>
    <w:rsid w:val="1ADC5170"/>
    <w:rsid w:val="1D3A7C56"/>
    <w:rsid w:val="1D6A55FD"/>
    <w:rsid w:val="1E002E5A"/>
    <w:rsid w:val="1FB45999"/>
    <w:rsid w:val="21C64C86"/>
    <w:rsid w:val="22567D1A"/>
    <w:rsid w:val="22DB685F"/>
    <w:rsid w:val="25541A83"/>
    <w:rsid w:val="26A773F7"/>
    <w:rsid w:val="26F84C8F"/>
    <w:rsid w:val="27D50F07"/>
    <w:rsid w:val="2B0A4248"/>
    <w:rsid w:val="2EB9463C"/>
    <w:rsid w:val="31A32DA5"/>
    <w:rsid w:val="33DB77DF"/>
    <w:rsid w:val="342B0469"/>
    <w:rsid w:val="3560768C"/>
    <w:rsid w:val="35B4752A"/>
    <w:rsid w:val="36DB144E"/>
    <w:rsid w:val="3784566E"/>
    <w:rsid w:val="38D07BDC"/>
    <w:rsid w:val="3A9127A9"/>
    <w:rsid w:val="3AEB0650"/>
    <w:rsid w:val="3C686C37"/>
    <w:rsid w:val="3D4B03BF"/>
    <w:rsid w:val="40EE3E42"/>
    <w:rsid w:val="415427C6"/>
    <w:rsid w:val="447035BF"/>
    <w:rsid w:val="44ED723E"/>
    <w:rsid w:val="4794708C"/>
    <w:rsid w:val="47B97D14"/>
    <w:rsid w:val="48790A45"/>
    <w:rsid w:val="4BA044C6"/>
    <w:rsid w:val="4BFF1C52"/>
    <w:rsid w:val="4D8A4293"/>
    <w:rsid w:val="4E88219F"/>
    <w:rsid w:val="4FAE627A"/>
    <w:rsid w:val="510F2583"/>
    <w:rsid w:val="51B84AE3"/>
    <w:rsid w:val="55B70425"/>
    <w:rsid w:val="55BA0B0B"/>
    <w:rsid w:val="58DD49E4"/>
    <w:rsid w:val="59E864C2"/>
    <w:rsid w:val="5BAF4C39"/>
    <w:rsid w:val="5E080EDD"/>
    <w:rsid w:val="5F5A02AA"/>
    <w:rsid w:val="5FA13918"/>
    <w:rsid w:val="5FFC5821"/>
    <w:rsid w:val="62562ACB"/>
    <w:rsid w:val="63532F7A"/>
    <w:rsid w:val="64320592"/>
    <w:rsid w:val="64A97549"/>
    <w:rsid w:val="65142148"/>
    <w:rsid w:val="695127D7"/>
    <w:rsid w:val="6A54600A"/>
    <w:rsid w:val="6C167BE5"/>
    <w:rsid w:val="6CAB4C75"/>
    <w:rsid w:val="6CD10796"/>
    <w:rsid w:val="6D024ED5"/>
    <w:rsid w:val="6F9272C3"/>
    <w:rsid w:val="71117BFE"/>
    <w:rsid w:val="714F19F1"/>
    <w:rsid w:val="74B05085"/>
    <w:rsid w:val="74C46C56"/>
    <w:rsid w:val="75334964"/>
    <w:rsid w:val="755E731D"/>
    <w:rsid w:val="79CD0FBF"/>
    <w:rsid w:val="7C187B67"/>
    <w:rsid w:val="7C334264"/>
    <w:rsid w:val="7CCA14C5"/>
    <w:rsid w:val="7E627709"/>
    <w:rsid w:val="7F0912F1"/>
    <w:rsid w:val="7F71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084553F-9D46-4A9D-8460-0490E8B9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4">
    <w:name w:val="heading 4"/>
    <w:basedOn w:val="a"/>
    <w:next w:val="a"/>
    <w:qFormat/>
    <w:pPr>
      <w:keepNext/>
      <w:keepLines/>
      <w:spacing w:before="120" w:after="12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rPr>
      <w:rFonts w:ascii="Calibri" w:hAnsi="Calibri" w:cs="Calibri"/>
    </w:rPr>
  </w:style>
  <w:style w:type="paragraph" w:styleId="a3">
    <w:name w:val="Body Text Indent"/>
    <w:basedOn w:val="a"/>
    <w:next w:val="a4"/>
    <w:qFormat/>
    <w:pPr>
      <w:snapToGrid w:val="0"/>
      <w:spacing w:line="440" w:lineRule="exact"/>
      <w:ind w:firstLineChars="192" w:firstLine="403"/>
    </w:pPr>
    <w:rPr>
      <w:rFonts w:ascii="宋体" w:hAnsi="宋体" w:cs="宋体"/>
    </w:rPr>
  </w:style>
  <w:style w:type="paragraph" w:styleId="a4">
    <w:name w:val="envelope return"/>
    <w:basedOn w:val="a"/>
    <w:qFormat/>
    <w:pPr>
      <w:snapToGrid w:val="0"/>
    </w:pPr>
    <w:rPr>
      <w:rFonts w:ascii="Arial" w:hAnsi="Arial"/>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pPr>
      <w:ind w:firstLineChars="200" w:firstLine="420"/>
    </w:pPr>
  </w:style>
  <w:style w:type="character" w:customStyle="1" w:styleId="fr-core-btn-text">
    <w:name w:val="fr-core-btn-text"/>
    <w:basedOn w:val="a0"/>
    <w:qFormat/>
  </w:style>
  <w:style w:type="paragraph" w:styleId="a7">
    <w:name w:val="header"/>
    <w:basedOn w:val="a"/>
    <w:link w:val="Char"/>
    <w:rsid w:val="00403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03505"/>
    <w:rPr>
      <w:kern w:val="2"/>
      <w:sz w:val="18"/>
      <w:szCs w:val="18"/>
    </w:rPr>
  </w:style>
  <w:style w:type="paragraph" w:styleId="a8">
    <w:name w:val="footer"/>
    <w:basedOn w:val="a"/>
    <w:link w:val="Char0"/>
    <w:rsid w:val="00403505"/>
    <w:pPr>
      <w:tabs>
        <w:tab w:val="center" w:pos="4153"/>
        <w:tab w:val="right" w:pos="8306"/>
      </w:tabs>
      <w:snapToGrid w:val="0"/>
      <w:jc w:val="left"/>
    </w:pPr>
    <w:rPr>
      <w:sz w:val="18"/>
      <w:szCs w:val="18"/>
    </w:rPr>
  </w:style>
  <w:style w:type="character" w:customStyle="1" w:styleId="Char0">
    <w:name w:val="页脚 Char"/>
    <w:basedOn w:val="a0"/>
    <w:link w:val="a8"/>
    <w:rsid w:val="004035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Words>
  <Characters>826</Characters>
  <Application>Microsoft Office Word</Application>
  <DocSecurity>0</DocSecurity>
  <Lines>6</Lines>
  <Paragraphs>1</Paragraphs>
  <ScaleCrop>false</ScaleCrop>
  <Company>china</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南京医科大学（本部）(填报)</cp:lastModifiedBy>
  <cp:revision>2</cp:revision>
  <dcterms:created xsi:type="dcterms:W3CDTF">2021-11-15T05:39:00Z</dcterms:created>
  <dcterms:modified xsi:type="dcterms:W3CDTF">2021-11-15T05:39:00Z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