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line="360" w:lineRule="exact"/>
        <w:rPr>
          <w:rFonts w:hint="eastAsia" w:ascii="微软雅黑" w:hAnsi="微软雅黑" w:eastAsia="微软雅黑" w:cs="微软雅黑"/>
          <w:sz w:val="21"/>
          <w:szCs w:val="21"/>
        </w:rPr>
      </w:pPr>
      <w:bookmarkStart w:id="0" w:name="_Toc15790"/>
      <w:r>
        <w:rPr>
          <w:rFonts w:hint="eastAsia" w:ascii="微软雅黑" w:hAnsi="微软雅黑" w:eastAsia="微软雅黑" w:cs="微软雅黑"/>
          <w:sz w:val="21"/>
          <w:szCs w:val="21"/>
        </w:rPr>
        <w:t>南京医科大学超低温冰箱设备购置</w:t>
      </w:r>
      <w:r>
        <w:rPr>
          <w:rFonts w:hint="eastAsia" w:ascii="微软雅黑" w:hAnsi="微软雅黑" w:eastAsia="微软雅黑" w:cs="微软雅黑"/>
          <w:sz w:val="21"/>
          <w:szCs w:val="21"/>
          <w:lang w:eastAsia="zh-CN"/>
        </w:rPr>
        <w:t>项目</w:t>
      </w:r>
      <w:r>
        <w:rPr>
          <w:rFonts w:hint="eastAsia" w:ascii="微软雅黑" w:hAnsi="微软雅黑" w:eastAsia="微软雅黑" w:cs="微软雅黑"/>
          <w:sz w:val="21"/>
          <w:szCs w:val="21"/>
        </w:rPr>
        <w:t>公开招标公告</w:t>
      </w:r>
      <w:bookmarkEnd w:id="0"/>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项目概况</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南京医科大学超低温冰箱设备购置招标项目的潜在投标人应在（</w:t>
      </w:r>
      <w:r>
        <w:rPr>
          <w:rFonts w:hint="eastAsia" w:ascii="微软雅黑" w:hAnsi="微软雅黑" w:eastAsia="微软雅黑" w:cs="微软雅黑"/>
          <w:sz w:val="21"/>
          <w:szCs w:val="21"/>
          <w:lang w:bidi="ar"/>
        </w:rPr>
        <w:t>南京市建邺区嘉陵江东街8号新城科技园综合体B3栋16层</w:t>
      </w:r>
      <w:r>
        <w:rPr>
          <w:rFonts w:hint="eastAsia" w:ascii="微软雅黑" w:hAnsi="微软雅黑" w:eastAsia="微软雅黑" w:cs="微软雅黑"/>
          <w:sz w:val="21"/>
          <w:szCs w:val="21"/>
        </w:rPr>
        <w:t>）获取招标文件，并于2021年</w:t>
      </w:r>
      <w:r>
        <w:rPr>
          <w:rFonts w:hint="eastAsia" w:ascii="微软雅黑" w:hAnsi="微软雅黑" w:eastAsia="微软雅黑" w:cs="微软雅黑"/>
          <w:sz w:val="21"/>
          <w:szCs w:val="21"/>
          <w:lang w:val="en-US" w:eastAsia="zh-CN"/>
        </w:rPr>
        <w:t>11</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04</w:t>
      </w:r>
      <w:r>
        <w:rPr>
          <w:rFonts w:hint="eastAsia" w:ascii="微软雅黑" w:hAnsi="微软雅黑" w:eastAsia="微软雅黑" w:cs="微软雅黑"/>
          <w:sz w:val="21"/>
          <w:szCs w:val="21"/>
        </w:rPr>
        <w:t>日14点30分（北京时间）前递交投标文件。</w:t>
      </w:r>
    </w:p>
    <w:p>
      <w:pPr>
        <w:pStyle w:val="4"/>
        <w:spacing w:before="0" w:after="0" w:line="400" w:lineRule="exact"/>
        <w:jc w:val="left"/>
        <w:rPr>
          <w:rFonts w:hint="eastAsia" w:ascii="微软雅黑" w:hAnsi="微软雅黑" w:cs="微软雅黑"/>
          <w:bCs w:val="0"/>
          <w:sz w:val="21"/>
          <w:szCs w:val="21"/>
        </w:rPr>
      </w:pPr>
      <w:bookmarkStart w:id="1" w:name="_Toc28359079"/>
      <w:bookmarkStart w:id="2" w:name="_Toc14776"/>
      <w:bookmarkStart w:id="3" w:name="_Toc35393790"/>
      <w:bookmarkStart w:id="4" w:name="_Toc35393621"/>
      <w:bookmarkStart w:id="5" w:name="_Toc28359002"/>
      <w:bookmarkStart w:id="6" w:name="_Hlk24379207"/>
      <w:r>
        <w:rPr>
          <w:rFonts w:hint="eastAsia" w:ascii="微软雅黑" w:hAnsi="微软雅黑" w:cs="微软雅黑"/>
          <w:bCs w:val="0"/>
          <w:sz w:val="21"/>
          <w:szCs w:val="21"/>
        </w:rPr>
        <w:t>一、项目基本情况</w:t>
      </w:r>
      <w:bookmarkEnd w:id="1"/>
      <w:bookmarkEnd w:id="2"/>
      <w:bookmarkEnd w:id="3"/>
      <w:bookmarkEnd w:id="4"/>
      <w:bookmarkEnd w:id="5"/>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项目编号：JSHC-2021090637B6</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项目名称：南京医科大学超低温冰箱设备购置</w:t>
      </w:r>
    </w:p>
    <w:bookmarkEnd w:id="6"/>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预算金额：人民币壹拾伍万圆整（￥15万元整）</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最高限价：人民币壹拾伍万圆整（￥15万元整）</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采购需求：超低温冰箱2套</w:t>
      </w:r>
    </w:p>
    <w:p>
      <w:pPr>
        <w:pStyle w:val="15"/>
        <w:spacing w:before="0" w:beforeAutospacing="0" w:after="0" w:afterAutospacing="0" w:line="400" w:lineRule="exact"/>
        <w:ind w:firstLine="480"/>
        <w:rPr>
          <w:rFonts w:hint="eastAsia" w:ascii="微软雅黑" w:hAnsi="微软雅黑" w:eastAsia="微软雅黑" w:cs="微软雅黑"/>
          <w:sz w:val="21"/>
          <w:szCs w:val="21"/>
        </w:rPr>
      </w:pPr>
      <w:bookmarkStart w:id="7" w:name="_Toc28359003"/>
      <w:bookmarkStart w:id="8" w:name="_Toc28359080"/>
      <w:bookmarkStart w:id="9" w:name="_Toc35393622"/>
      <w:bookmarkStart w:id="10" w:name="_Toc35393791"/>
      <w:r>
        <w:rPr>
          <w:rFonts w:hint="eastAsia" w:ascii="微软雅黑" w:hAnsi="微软雅黑" w:eastAsia="微软雅黑" w:cs="微软雅黑"/>
          <w:sz w:val="21"/>
          <w:szCs w:val="21"/>
        </w:rPr>
        <w:t>合同履行期限：详见采购文件。</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4"/>
        <w:spacing w:before="0" w:after="0" w:line="400" w:lineRule="exact"/>
        <w:jc w:val="left"/>
        <w:rPr>
          <w:rFonts w:hint="eastAsia" w:ascii="微软雅黑" w:hAnsi="微软雅黑" w:cs="微软雅黑"/>
          <w:bCs w:val="0"/>
          <w:sz w:val="21"/>
          <w:szCs w:val="21"/>
        </w:rPr>
      </w:pPr>
      <w:bookmarkStart w:id="11" w:name="_Toc23896"/>
      <w:r>
        <w:rPr>
          <w:rFonts w:hint="eastAsia" w:ascii="微软雅黑" w:hAnsi="微软雅黑" w:cs="微软雅黑"/>
          <w:bCs w:val="0"/>
          <w:sz w:val="21"/>
          <w:szCs w:val="21"/>
        </w:rPr>
        <w:t>二、申请人的资格要求：</w:t>
      </w:r>
      <w:bookmarkEnd w:id="7"/>
      <w:bookmarkEnd w:id="8"/>
      <w:bookmarkEnd w:id="9"/>
      <w:bookmarkEnd w:id="10"/>
      <w:bookmarkEnd w:id="11"/>
    </w:p>
    <w:p>
      <w:pPr>
        <w:pStyle w:val="15"/>
        <w:spacing w:before="0" w:beforeAutospacing="0" w:after="0" w:afterAutospacing="0" w:line="400" w:lineRule="exact"/>
        <w:ind w:firstLine="480"/>
        <w:rPr>
          <w:rFonts w:hint="eastAsia" w:ascii="微软雅黑" w:hAnsi="微软雅黑" w:eastAsia="微软雅黑" w:cs="微软雅黑"/>
          <w:sz w:val="21"/>
          <w:szCs w:val="21"/>
        </w:rPr>
      </w:pPr>
      <w:bookmarkStart w:id="12" w:name="_Toc28359004"/>
      <w:bookmarkStart w:id="13" w:name="_Toc28359081"/>
      <w:r>
        <w:rPr>
          <w:rFonts w:hint="eastAsia" w:ascii="微软雅黑" w:hAnsi="微软雅黑" w:eastAsia="微软雅黑" w:cs="微软雅黑"/>
          <w:sz w:val="21"/>
          <w:szCs w:val="21"/>
        </w:rPr>
        <w:t>1.满足《中华人民共和国政府采购法》第二十二条规定：</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2020年09月至今任一月份的资产负债表和利润表，或2020年度审计报告，或银行出具的资信证明，或财政部门认可的专业担保机构出具的投标担保函；（法人或者其他组织成立未满一年的可以不提供）</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1.3具有履行合同所必需的设备和专业技术能力（根据项目需求提供履行合同所必需的设备和专业技术能力的证明材料或承诺函）； </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2020年09月至今任一月份依法缴纳税收的凭据，以及缴纳社会保险的凭据（专用收据或社会保险的凭据。依法免税或不需要缴纳社会保障资金的投标供应商，应提供相应文件证明）；</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1.5参加本次采购活动2018年10月1日至2021年10月1日内，在经营活动中没有重大违法记录（提供参加本次采购活动前3年内在经营活动中没有重大违法记录的书面声明）；</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1.6投标供应商须提供法定代表人授权书原件、法定代表人身份证复印件、授权代表身份证复印件（如果是法定代表人直接参与投标的可以不提供授权书）。</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1.7本项目接受进口产品投标（注：本文件所称进口产品是指通过中国海关报关验放进入中国境内且产自关境外的产品）；</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2.落实政府采购政策需满足的资格要求：非专门面向中小企业、监狱企业、残疾人福利性单位采购的项目。</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3.本项目的特定资格要求：代理商投标进口设备，需提供原厂授权证明文件,并明确承担一切售前、售后责任；</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4"/>
        <w:spacing w:before="0" w:after="0" w:line="400" w:lineRule="exact"/>
        <w:jc w:val="left"/>
        <w:rPr>
          <w:rFonts w:hint="eastAsia" w:ascii="微软雅黑" w:hAnsi="微软雅黑" w:cs="微软雅黑"/>
          <w:bCs w:val="0"/>
          <w:sz w:val="21"/>
          <w:szCs w:val="21"/>
        </w:rPr>
      </w:pPr>
      <w:bookmarkStart w:id="14" w:name="_Toc35393792"/>
      <w:bookmarkStart w:id="15" w:name="_Toc1650"/>
      <w:bookmarkStart w:id="16" w:name="_Toc35393623"/>
      <w:r>
        <w:rPr>
          <w:rFonts w:hint="eastAsia" w:ascii="微软雅黑" w:hAnsi="微软雅黑" w:cs="微软雅黑"/>
          <w:bCs w:val="0"/>
          <w:sz w:val="21"/>
          <w:szCs w:val="21"/>
        </w:rPr>
        <w:t>三、获取招标文件</w:t>
      </w:r>
      <w:bookmarkEnd w:id="12"/>
      <w:bookmarkEnd w:id="13"/>
      <w:bookmarkEnd w:id="14"/>
      <w:bookmarkEnd w:id="15"/>
      <w:bookmarkEnd w:id="16"/>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时间：2021年</w:t>
      </w: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11</w:t>
      </w:r>
      <w:r>
        <w:rPr>
          <w:rFonts w:hint="eastAsia" w:ascii="微软雅黑" w:hAnsi="微软雅黑" w:eastAsia="微软雅黑" w:cs="微软雅黑"/>
          <w:sz w:val="21"/>
          <w:szCs w:val="21"/>
        </w:rPr>
        <w:t>日至2021年</w:t>
      </w: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15</w:t>
      </w:r>
      <w:r>
        <w:rPr>
          <w:rFonts w:hint="eastAsia" w:ascii="微软雅黑" w:hAnsi="微软雅黑" w:eastAsia="微软雅黑" w:cs="微软雅黑"/>
          <w:sz w:val="21"/>
          <w:szCs w:val="21"/>
        </w:rPr>
        <w:t>日，每天上午09:00至11:30，下午13:30至17:00（北京时间，法定节假日除外）</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地点：南京市雨花台区软件大道109号（雨花客厅）2幢909室</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方式：供应商如确定参加投标，须通过邮箱获取采购文件。</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售价：本项目不收取购买采购文件费用。</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"mailto:加盖公章的授权委托书原件或扫描件、加盖公章的被委托人身份证复印件或扫描件，及汇款凭据的截图发送至邮箱jshc9999@163.com" </w:instrText>
      </w:r>
      <w:r>
        <w:rPr>
          <w:rFonts w:hint="eastAsia" w:ascii="微软雅黑" w:hAnsi="微软雅黑" w:eastAsia="微软雅黑" w:cs="微软雅黑"/>
          <w:sz w:val="21"/>
          <w:szCs w:val="21"/>
        </w:rPr>
        <w:fldChar w:fldCharType="separate"/>
      </w:r>
      <w:r>
        <w:rPr>
          <w:rStyle w:val="18"/>
          <w:rFonts w:hint="eastAsia" w:ascii="微软雅黑" w:hAnsi="微软雅黑" w:eastAsia="微软雅黑" w:cs="微软雅黑"/>
          <w:sz w:val="21"/>
          <w:szCs w:val="21"/>
        </w:rPr>
        <w:t>加盖公章的授权委托书原件或扫描件、加盖公章的被委托人身份证复印件或扫描件，及汇款凭据的截图发送至邮箱jshc9999@163.com</w:t>
      </w:r>
      <w:r>
        <w:rPr>
          <w:rFonts w:hint="eastAsia" w:ascii="微软雅黑" w:hAnsi="微软雅黑" w:eastAsia="微软雅黑" w:cs="微软雅黑"/>
          <w:sz w:val="21"/>
          <w:szCs w:val="21"/>
        </w:rPr>
        <w:fldChar w:fldCharType="end"/>
      </w:r>
    </w:p>
    <w:p>
      <w:pPr>
        <w:pStyle w:val="15"/>
        <w:spacing w:before="0" w:beforeAutospacing="0" w:after="0" w:afterAutospacing="0" w:line="240" w:lineRule="auto"/>
        <w:ind w:firstLine="48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drawing>
          <wp:inline distT="0" distB="0" distL="114300" distR="114300">
            <wp:extent cx="1511935" cy="2352040"/>
            <wp:effectExtent l="0" t="0" r="12065" b="10160"/>
            <wp:docPr id="1" name="图片 1"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华采付款码"/>
                    <pic:cNvPicPr>
                      <a:picLocks noChangeAspect="1"/>
                    </pic:cNvPicPr>
                  </pic:nvPicPr>
                  <pic:blipFill>
                    <a:blip r:embed="rId4"/>
                    <a:stretch>
                      <a:fillRect/>
                    </a:stretch>
                  </pic:blipFill>
                  <pic:spPr>
                    <a:xfrm>
                      <a:off x="0" y="0"/>
                      <a:ext cx="1511935" cy="2352040"/>
                    </a:xfrm>
                    <a:prstGeom prst="rect">
                      <a:avLst/>
                    </a:prstGeom>
                    <a:noFill/>
                    <a:ln>
                      <a:noFill/>
                    </a:ln>
                  </pic:spPr>
                </pic:pic>
              </a:graphicData>
            </a:graphic>
          </wp:inline>
        </w:drawing>
      </w:r>
    </w:p>
    <w:p>
      <w:pPr>
        <w:pStyle w:val="4"/>
        <w:spacing w:before="0" w:after="0" w:line="400" w:lineRule="exact"/>
        <w:jc w:val="left"/>
        <w:rPr>
          <w:rFonts w:hint="eastAsia" w:ascii="微软雅黑" w:hAnsi="微软雅黑" w:cs="微软雅黑"/>
          <w:bCs w:val="0"/>
          <w:sz w:val="21"/>
          <w:szCs w:val="21"/>
        </w:rPr>
      </w:pPr>
      <w:bookmarkStart w:id="17" w:name="_Toc28359082"/>
      <w:bookmarkStart w:id="18" w:name="_Toc28359005"/>
      <w:bookmarkStart w:id="19" w:name="_Toc32169"/>
      <w:bookmarkStart w:id="20" w:name="_Toc35393793"/>
      <w:bookmarkStart w:id="21" w:name="_Toc35393624"/>
      <w:r>
        <w:rPr>
          <w:rFonts w:hint="eastAsia" w:ascii="微软雅黑" w:hAnsi="微软雅黑" w:cs="微软雅黑"/>
          <w:bCs w:val="0"/>
          <w:sz w:val="21"/>
          <w:szCs w:val="21"/>
        </w:rPr>
        <w:t>四、提交投标文件</w:t>
      </w:r>
      <w:bookmarkEnd w:id="17"/>
      <w:bookmarkEnd w:id="18"/>
      <w:r>
        <w:rPr>
          <w:rFonts w:hint="eastAsia" w:ascii="微软雅黑" w:hAnsi="微软雅黑" w:cs="微软雅黑"/>
          <w:bCs w:val="0"/>
          <w:sz w:val="21"/>
          <w:szCs w:val="21"/>
        </w:rPr>
        <w:t>截止时间、开标时间和地点</w:t>
      </w:r>
      <w:bookmarkEnd w:id="19"/>
      <w:bookmarkEnd w:id="20"/>
      <w:bookmarkEnd w:id="21"/>
    </w:p>
    <w:p>
      <w:pPr>
        <w:pStyle w:val="15"/>
        <w:spacing w:before="0" w:beforeAutospacing="0" w:after="0" w:afterAutospacing="0" w:line="400" w:lineRule="exact"/>
        <w:ind w:firstLine="480"/>
        <w:rPr>
          <w:rFonts w:hint="eastAsia" w:ascii="微软雅黑" w:hAnsi="微软雅黑" w:eastAsia="微软雅黑" w:cs="微软雅黑"/>
          <w:sz w:val="21"/>
          <w:szCs w:val="21"/>
        </w:rPr>
      </w:pPr>
      <w:bookmarkStart w:id="22" w:name="_Toc28359007"/>
      <w:bookmarkStart w:id="23" w:name="_Toc28359084"/>
      <w:bookmarkStart w:id="24" w:name="_Toc35393625"/>
      <w:bookmarkStart w:id="25" w:name="_Toc35393794"/>
      <w:r>
        <w:rPr>
          <w:rFonts w:hint="eastAsia" w:ascii="微软雅黑" w:hAnsi="微软雅黑" w:eastAsia="微软雅黑" w:cs="微软雅黑"/>
          <w:sz w:val="21"/>
          <w:szCs w:val="21"/>
        </w:rPr>
        <w:t>2021年</w:t>
      </w:r>
      <w:r>
        <w:rPr>
          <w:rFonts w:hint="eastAsia" w:ascii="微软雅黑" w:hAnsi="微软雅黑" w:eastAsia="微软雅黑" w:cs="微软雅黑"/>
          <w:sz w:val="21"/>
          <w:szCs w:val="21"/>
          <w:lang w:val="en-US" w:eastAsia="zh-CN"/>
        </w:rPr>
        <w:t>11</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04</w:t>
      </w:r>
      <w:r>
        <w:rPr>
          <w:rFonts w:hint="eastAsia" w:ascii="微软雅黑" w:hAnsi="微软雅黑" w:eastAsia="微软雅黑" w:cs="微软雅黑"/>
          <w:sz w:val="21"/>
          <w:szCs w:val="21"/>
        </w:rPr>
        <w:t>日14点30分（北京时间）</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w:t>
      </w:r>
      <w:r>
        <w:rPr>
          <w:rFonts w:hint="eastAsia" w:ascii="微软雅黑" w:hAnsi="微软雅黑" w:eastAsia="微软雅黑" w:cs="微软雅黑"/>
          <w:sz w:val="21"/>
          <w:szCs w:val="21"/>
          <w:lang w:eastAsia="zh-CN"/>
        </w:rPr>
        <w:t>南京市</w:t>
      </w:r>
      <w:bookmarkStart w:id="39" w:name="_GoBack"/>
      <w:bookmarkEnd w:id="39"/>
      <w:r>
        <w:rPr>
          <w:rFonts w:hint="eastAsia" w:ascii="微软雅黑" w:hAnsi="微软雅黑" w:eastAsia="微软雅黑" w:cs="微软雅黑"/>
          <w:sz w:val="21"/>
          <w:szCs w:val="21"/>
        </w:rPr>
        <w:t>建邺区嘉陵江东街8号新城科技园综合体B3栋16层</w:t>
      </w:r>
    </w:p>
    <w:p>
      <w:pPr>
        <w:pStyle w:val="4"/>
        <w:spacing w:before="0" w:after="0" w:line="400" w:lineRule="exact"/>
        <w:jc w:val="left"/>
        <w:rPr>
          <w:rFonts w:hint="eastAsia" w:ascii="微软雅黑" w:hAnsi="微软雅黑" w:cs="微软雅黑"/>
          <w:bCs w:val="0"/>
          <w:sz w:val="21"/>
          <w:szCs w:val="21"/>
        </w:rPr>
      </w:pPr>
      <w:bookmarkStart w:id="26" w:name="_Toc29988"/>
      <w:r>
        <w:rPr>
          <w:rFonts w:hint="eastAsia" w:ascii="微软雅黑" w:hAnsi="微软雅黑" w:cs="微软雅黑"/>
          <w:bCs w:val="0"/>
          <w:sz w:val="21"/>
          <w:szCs w:val="21"/>
        </w:rPr>
        <w:t>五、公告期限</w:t>
      </w:r>
      <w:bookmarkEnd w:id="22"/>
      <w:bookmarkEnd w:id="23"/>
      <w:bookmarkEnd w:id="24"/>
      <w:bookmarkEnd w:id="25"/>
      <w:bookmarkEnd w:id="26"/>
    </w:p>
    <w:p>
      <w:pPr>
        <w:pStyle w:val="15"/>
        <w:spacing w:before="0" w:beforeAutospacing="0" w:after="0" w:afterAutospacing="0" w:line="400" w:lineRule="exact"/>
        <w:ind w:firstLine="480"/>
        <w:rPr>
          <w:rFonts w:hint="eastAsia" w:ascii="微软雅黑" w:hAnsi="微软雅黑" w:eastAsia="微软雅黑" w:cs="微软雅黑"/>
          <w:sz w:val="21"/>
          <w:szCs w:val="21"/>
        </w:rPr>
      </w:pPr>
      <w:bookmarkStart w:id="27" w:name="_Toc35393795"/>
      <w:bookmarkStart w:id="28" w:name="_Toc35393626"/>
      <w:r>
        <w:rPr>
          <w:rFonts w:hint="eastAsia" w:ascii="微软雅黑" w:hAnsi="微软雅黑" w:eastAsia="微软雅黑" w:cs="微软雅黑"/>
          <w:sz w:val="21"/>
          <w:szCs w:val="21"/>
        </w:rPr>
        <w:t>自本公告发布之日起5个工作日。</w:t>
      </w:r>
    </w:p>
    <w:p>
      <w:pPr>
        <w:pStyle w:val="4"/>
        <w:spacing w:before="0" w:after="0" w:line="400" w:lineRule="exact"/>
        <w:jc w:val="left"/>
        <w:rPr>
          <w:rFonts w:hint="eastAsia" w:ascii="微软雅黑" w:hAnsi="微软雅黑" w:cs="微软雅黑"/>
          <w:bCs w:val="0"/>
          <w:sz w:val="21"/>
          <w:szCs w:val="21"/>
        </w:rPr>
      </w:pPr>
      <w:bookmarkStart w:id="29" w:name="_Toc6468"/>
      <w:r>
        <w:rPr>
          <w:rFonts w:hint="eastAsia" w:ascii="微软雅黑" w:hAnsi="微软雅黑" w:cs="微软雅黑"/>
          <w:bCs w:val="0"/>
          <w:sz w:val="21"/>
          <w:szCs w:val="21"/>
        </w:rPr>
        <w:t>六、其他补充事宜</w:t>
      </w:r>
      <w:bookmarkEnd w:id="27"/>
      <w:bookmarkEnd w:id="28"/>
      <w:bookmarkEnd w:id="29"/>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疫情防控期间注意事项：</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凡参加本次投标的相关人员，应在文件接收截止时间前完成以下程序：</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1、所有人员必须提供宁归来或苏康码的绿色健康码才能进入会场；</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2、进入开标大厅时必须佩戴口罩，不得随意走动。</w:t>
      </w:r>
    </w:p>
    <w:p>
      <w:pPr>
        <w:pStyle w:val="4"/>
        <w:spacing w:before="0" w:after="0" w:line="400" w:lineRule="exact"/>
        <w:jc w:val="left"/>
        <w:rPr>
          <w:rFonts w:hint="eastAsia" w:ascii="微软雅黑" w:hAnsi="微软雅黑" w:cs="微软雅黑"/>
          <w:bCs w:val="0"/>
          <w:sz w:val="21"/>
          <w:szCs w:val="21"/>
        </w:rPr>
      </w:pPr>
      <w:bookmarkStart w:id="30" w:name="_Toc35393796"/>
      <w:bookmarkStart w:id="31" w:name="_Toc28359008"/>
      <w:bookmarkStart w:id="32" w:name="_Toc35393627"/>
      <w:bookmarkStart w:id="33" w:name="_Toc28359085"/>
      <w:bookmarkStart w:id="34" w:name="_Toc26465"/>
      <w:r>
        <w:rPr>
          <w:rFonts w:hint="eastAsia" w:ascii="微软雅黑" w:hAnsi="微软雅黑" w:cs="微软雅黑"/>
          <w:bCs w:val="0"/>
          <w:sz w:val="21"/>
          <w:szCs w:val="21"/>
        </w:rPr>
        <w:t>七、对本次招标提出询问，请按以下方式联系。</w:t>
      </w:r>
      <w:bookmarkEnd w:id="30"/>
      <w:bookmarkEnd w:id="31"/>
      <w:bookmarkEnd w:id="32"/>
      <w:bookmarkEnd w:id="33"/>
      <w:bookmarkEnd w:id="34"/>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名 称：南京医科大学</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5" w:name="_Toc28359009"/>
      <w:bookmarkStart w:id="36" w:name="_Toc28359086"/>
      <w:r>
        <w:rPr>
          <w:rFonts w:hint="eastAsia" w:ascii="微软雅黑" w:hAnsi="微软雅黑" w:eastAsia="微软雅黑" w:cs="微软雅黑"/>
          <w:sz w:val="21"/>
          <w:szCs w:val="21"/>
        </w:rPr>
        <w:t>陈老师025-86868572</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35"/>
      <w:bookmarkEnd w:id="36"/>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名 称：江苏省华采招标有限公司</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地　址：南京市雨花台区安德门大街46号北三楼</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7" w:name="_Toc28359010"/>
      <w:bookmarkStart w:id="38" w:name="_Toc28359087"/>
      <w:r>
        <w:rPr>
          <w:rFonts w:hint="eastAsia" w:ascii="微软雅黑" w:hAnsi="微软雅黑" w:eastAsia="微软雅黑" w:cs="微软雅黑"/>
          <w:sz w:val="21"/>
          <w:szCs w:val="21"/>
        </w:rPr>
        <w:t>025-83609978</w:t>
      </w:r>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37"/>
      <w:bookmarkEnd w:id="38"/>
    </w:p>
    <w:p>
      <w:pPr>
        <w:pStyle w:val="15"/>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项目联系人：倪莲蕾</w:t>
      </w:r>
    </w:p>
    <w:p>
      <w:pPr>
        <w:pStyle w:val="15"/>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电　话：025-83603328</w:t>
      </w:r>
    </w:p>
    <w:p>
      <w:pPr>
        <w:pStyle w:val="15"/>
        <w:spacing w:before="0" w:beforeAutospacing="0" w:after="0" w:afterAutospacing="0" w:line="400" w:lineRule="exact"/>
        <w:ind w:firstLine="480"/>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pStyle w:val="15"/>
        <w:spacing w:before="0" w:beforeAutospacing="0" w:after="0" w:afterAutospacing="0" w:line="400" w:lineRule="exact"/>
        <w:ind w:firstLine="480"/>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rPr>
        <w:t>2021年</w:t>
      </w: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09</w:t>
      </w:r>
      <w:r>
        <w:rPr>
          <w:rFonts w:hint="eastAsia" w:ascii="微软雅黑" w:hAnsi="微软雅黑" w:eastAsia="微软雅黑" w:cs="微软雅黑"/>
          <w:sz w:val="21"/>
          <w:szCs w:val="21"/>
        </w:rPr>
        <w:t>日</w:t>
      </w:r>
    </w:p>
    <w:p>
      <w:pPr>
        <w:pStyle w:val="15"/>
        <w:spacing w:before="0" w:beforeAutospacing="0" w:after="0" w:afterAutospacing="0" w:line="400" w:lineRule="exact"/>
        <w:ind w:firstLine="480"/>
        <w:jc w:val="right"/>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277CC4"/>
    <w:rsid w:val="13BB70F3"/>
    <w:rsid w:val="15277CC4"/>
    <w:rsid w:val="2C562DBF"/>
    <w:rsid w:val="38523D2F"/>
    <w:rsid w:val="3D7E31E1"/>
    <w:rsid w:val="40DC5808"/>
    <w:rsid w:val="48DC452F"/>
    <w:rsid w:val="4B8E6C20"/>
    <w:rsid w:val="6B58309C"/>
    <w:rsid w:val="6C774E88"/>
    <w:rsid w:val="73F3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1"/>
    <w:basedOn w:val="1"/>
    <w:next w:val="1"/>
    <w:qFormat/>
    <w:uiPriority w:val="0"/>
    <w:pPr>
      <w:keepNext/>
      <w:keepLines/>
      <w:spacing w:before="340" w:beforeLines="0" w:after="330" w:afterLines="0" w:line="240" w:lineRule="auto"/>
      <w:jc w:val="center"/>
      <w:outlineLvl w:val="0"/>
    </w:pPr>
    <w:rPr>
      <w:rFonts w:ascii="Calibri" w:hAnsi="Calibri" w:eastAsia="微软雅黑"/>
      <w:b/>
      <w:bCs/>
      <w:kern w:val="44"/>
      <w:sz w:val="32"/>
      <w:szCs w:val="44"/>
    </w:rPr>
  </w:style>
  <w:style w:type="paragraph" w:styleId="4">
    <w:name w:val="heading 2"/>
    <w:basedOn w:val="1"/>
    <w:next w:val="1"/>
    <w:qFormat/>
    <w:uiPriority w:val="0"/>
    <w:pPr>
      <w:keepNext/>
      <w:keepLines/>
      <w:spacing w:before="260" w:beforeLines="0" w:after="260" w:afterLines="0" w:line="240" w:lineRule="auto"/>
      <w:jc w:val="center"/>
      <w:outlineLvl w:val="1"/>
    </w:pPr>
    <w:rPr>
      <w:rFonts w:ascii="Cambria" w:hAnsi="Cambria" w:eastAsia="微软雅黑" w:cs="Times New Roman"/>
      <w:b/>
      <w:bCs/>
      <w:sz w:val="28"/>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Verdana" w:hAnsi="Verdana"/>
      <w:szCs w:val="20"/>
    </w:rPr>
  </w:style>
  <w:style w:type="paragraph" w:styleId="5">
    <w:name w:val="toc 7"/>
    <w:basedOn w:val="1"/>
    <w:next w:val="1"/>
    <w:qFormat/>
    <w:uiPriority w:val="0"/>
    <w:pPr>
      <w:spacing w:line="580" w:lineRule="exact"/>
      <w:ind w:left="2520" w:leftChars="1200"/>
    </w:pPr>
    <w:rPr>
      <w:rFonts w:ascii="Times New Roman" w:hAnsi="Times New Roman" w:eastAsia="微软雅黑"/>
      <w:sz w:val="24"/>
      <w:szCs w:val="24"/>
    </w:rPr>
  </w:style>
  <w:style w:type="paragraph" w:styleId="6">
    <w:name w:val="toc 5"/>
    <w:basedOn w:val="1"/>
    <w:next w:val="1"/>
    <w:qFormat/>
    <w:uiPriority w:val="0"/>
    <w:pPr>
      <w:spacing w:line="580" w:lineRule="exact"/>
      <w:ind w:left="1680" w:leftChars="800"/>
    </w:pPr>
    <w:rPr>
      <w:rFonts w:ascii="Times New Roman" w:hAnsi="Times New Roman" w:eastAsia="微软雅黑"/>
      <w:sz w:val="24"/>
      <w:szCs w:val="24"/>
    </w:rPr>
  </w:style>
  <w:style w:type="paragraph" w:styleId="7">
    <w:name w:val="toc 3"/>
    <w:basedOn w:val="1"/>
    <w:next w:val="1"/>
    <w:qFormat/>
    <w:uiPriority w:val="0"/>
    <w:pPr>
      <w:spacing w:line="580" w:lineRule="exact"/>
      <w:ind w:left="840" w:leftChars="400"/>
    </w:pPr>
    <w:rPr>
      <w:rFonts w:ascii="Calibri" w:hAnsi="Calibri" w:eastAsia="微软雅黑" w:cs="Times New Roman"/>
      <w:sz w:val="24"/>
      <w:szCs w:val="22"/>
    </w:rPr>
  </w:style>
  <w:style w:type="paragraph" w:styleId="8">
    <w:name w:val="toc 8"/>
    <w:basedOn w:val="1"/>
    <w:next w:val="1"/>
    <w:qFormat/>
    <w:uiPriority w:val="0"/>
    <w:pPr>
      <w:spacing w:line="580" w:lineRule="exact"/>
      <w:ind w:left="2940" w:leftChars="1400"/>
    </w:pPr>
    <w:rPr>
      <w:rFonts w:ascii="Times New Roman" w:hAnsi="Times New Roman" w:eastAsia="微软雅黑"/>
      <w:sz w:val="24"/>
      <w:szCs w:val="24"/>
    </w:rPr>
  </w:style>
  <w:style w:type="paragraph" w:styleId="9">
    <w:name w:val="footer"/>
    <w:basedOn w:val="1"/>
    <w:qFormat/>
    <w:uiPriority w:val="0"/>
    <w:pPr>
      <w:tabs>
        <w:tab w:val="center" w:pos="4153"/>
        <w:tab w:val="right" w:pos="8306"/>
      </w:tabs>
      <w:autoSpaceDE w:val="0"/>
      <w:autoSpaceDN w:val="0"/>
      <w:adjustRightInd w:val="0"/>
      <w:snapToGrid w:val="0"/>
      <w:jc w:val="left"/>
    </w:pPr>
    <w:rPr>
      <w:rFonts w:ascii="宋体" w:hAnsi="Times New Roman" w:eastAsia="宋体" w:cs="Times New Roman"/>
      <w:kern w:val="0"/>
      <w:sz w:val="18"/>
      <w:szCs w:val="18"/>
    </w:rPr>
  </w:style>
  <w:style w:type="paragraph" w:styleId="10">
    <w:name w:val="toc 1"/>
    <w:basedOn w:val="1"/>
    <w:next w:val="1"/>
    <w:qFormat/>
    <w:uiPriority w:val="0"/>
    <w:pPr>
      <w:spacing w:line="580" w:lineRule="exact"/>
    </w:pPr>
    <w:rPr>
      <w:rFonts w:ascii="Calibri" w:hAnsi="Calibri" w:eastAsia="微软雅黑" w:cs="Times New Roman"/>
      <w:sz w:val="24"/>
      <w:szCs w:val="22"/>
    </w:rPr>
  </w:style>
  <w:style w:type="paragraph" w:styleId="11">
    <w:name w:val="toc 4"/>
    <w:basedOn w:val="1"/>
    <w:next w:val="1"/>
    <w:qFormat/>
    <w:uiPriority w:val="0"/>
    <w:pPr>
      <w:spacing w:line="580" w:lineRule="exact"/>
      <w:ind w:left="1260" w:leftChars="600"/>
    </w:pPr>
    <w:rPr>
      <w:rFonts w:ascii="Times New Roman" w:hAnsi="Times New Roman" w:eastAsia="微软雅黑"/>
      <w:sz w:val="24"/>
      <w:szCs w:val="24"/>
    </w:rPr>
  </w:style>
  <w:style w:type="paragraph" w:styleId="12">
    <w:name w:val="toc 6"/>
    <w:basedOn w:val="1"/>
    <w:next w:val="1"/>
    <w:qFormat/>
    <w:uiPriority w:val="0"/>
    <w:pPr>
      <w:spacing w:line="580" w:lineRule="exact"/>
      <w:ind w:left="2100" w:leftChars="1000"/>
    </w:pPr>
    <w:rPr>
      <w:rFonts w:ascii="Times New Roman" w:hAnsi="Times New Roman" w:eastAsia="微软雅黑"/>
      <w:sz w:val="24"/>
      <w:szCs w:val="24"/>
    </w:rPr>
  </w:style>
  <w:style w:type="paragraph" w:styleId="13">
    <w:name w:val="toc 2"/>
    <w:basedOn w:val="1"/>
    <w:next w:val="1"/>
    <w:qFormat/>
    <w:uiPriority w:val="0"/>
    <w:pPr>
      <w:spacing w:line="580" w:lineRule="exact"/>
      <w:ind w:left="420" w:leftChars="200"/>
    </w:pPr>
    <w:rPr>
      <w:rFonts w:ascii="Calibri" w:hAnsi="Calibri" w:eastAsia="微软雅黑" w:cs="Times New Roman"/>
      <w:sz w:val="24"/>
      <w:szCs w:val="22"/>
    </w:rPr>
  </w:style>
  <w:style w:type="paragraph" w:styleId="14">
    <w:name w:val="toc 9"/>
    <w:basedOn w:val="1"/>
    <w:next w:val="1"/>
    <w:qFormat/>
    <w:uiPriority w:val="0"/>
    <w:pPr>
      <w:spacing w:line="580" w:lineRule="exact"/>
      <w:ind w:left="3360" w:leftChars="1600"/>
    </w:pPr>
    <w:rPr>
      <w:rFonts w:ascii="Times New Roman" w:hAnsi="Times New Roman" w:eastAsia="微软雅黑"/>
      <w:sz w:val="24"/>
      <w:szCs w:val="24"/>
    </w:rPr>
  </w:style>
  <w:style w:type="paragraph" w:styleId="15">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styleId="18">
    <w:name w:val="Hyperlink"/>
    <w:qFormat/>
    <w:uiPriority w:val="0"/>
    <w:rPr>
      <w:color w:val="000000"/>
      <w:sz w:val="18"/>
      <w:szCs w:val="18"/>
      <w:u w:val="none"/>
    </w:rPr>
  </w:style>
  <w:style w:type="character" w:styleId="19">
    <w:name w:val="annotation reference"/>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2021-10-09T06:44:00Z</dcterms:created>
  <dc:creator>XuXue</dc:creator>
  <cp:lastModifiedBy>XuXue</cp:lastModifiedBy>
  <dcterms:modified xsi:type="dcterms:W3CDTF">2021-10-09T06:51:34Z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