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w:t>
      </w:r>
      <w:r>
        <w:rPr>
          <w:rFonts w:hint="eastAsia" w:asciiTheme="minorEastAsia" w:hAnsiTheme="minorEastAsia" w:eastAsiaTheme="minorEastAsia"/>
          <w:b/>
          <w:sz w:val="32"/>
          <w:szCs w:val="32"/>
        </w:rPr>
        <w:t xml:space="preserve"> 医药实验动物中心动物饮用水设备购置</w:t>
      </w:r>
      <w:r>
        <w:rPr>
          <w:rFonts w:hint="eastAsia" w:asciiTheme="minorEastAsia" w:hAnsiTheme="minorEastAsia" w:eastAsiaTheme="minorEastAsia"/>
          <w:b/>
          <w:bCs/>
          <w:sz w:val="32"/>
          <w:szCs w:val="32"/>
        </w:rPr>
        <w:t>项目</w:t>
      </w:r>
    </w:p>
    <w:p>
      <w:pPr>
        <w:pStyle w:val="26"/>
        <w:ind w:firstLine="0"/>
        <w:jc w:val="center"/>
        <w:rPr>
          <w:b/>
          <w:bCs/>
          <w:sz w:val="32"/>
        </w:rPr>
      </w:pPr>
      <w:r>
        <w:rPr>
          <w:rFonts w:hint="eastAsia"/>
          <w:b/>
          <w:bCs/>
          <w:sz w:val="32"/>
        </w:rPr>
        <w:t xml:space="preserve">项目编号：NJMUZB3012019073 </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479757206"/>
      <w:bookmarkStart w:id="3" w:name="_Toc513029200"/>
      <w:bookmarkStart w:id="4" w:name="_Toc16938516"/>
      <w:bookmarkStart w:id="5" w:name="_Toc523127445"/>
      <w:bookmarkStart w:id="6" w:name="_Toc20823272"/>
      <w:r>
        <w:rPr>
          <w:rFonts w:hint="eastAsia" w:ascii="黑体" w:hAnsi="黑体" w:eastAsia="黑体"/>
          <w:b/>
          <w:sz w:val="44"/>
          <w:szCs w:val="28"/>
        </w:rPr>
        <w:t>目  录</w:t>
      </w:r>
      <w:bookmarkEnd w:id="0"/>
    </w:p>
    <w:p>
      <w:pPr>
        <w:pStyle w:val="13"/>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20"/>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20"/>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20"/>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20"/>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3"/>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20"/>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3"/>
        <w:tabs>
          <w:tab w:val="right" w:leader="dot" w:pos="8296"/>
        </w:tabs>
        <w:spacing w:line="360" w:lineRule="auto"/>
        <w:rPr>
          <w:sz w:val="24"/>
        </w:rPr>
      </w:pPr>
      <w:r>
        <w:fldChar w:fldCharType="begin"/>
      </w:r>
      <w:r>
        <w:instrText xml:space="preserve"> HYPERLINK \l "_Toc523931349" </w:instrText>
      </w:r>
      <w:r>
        <w:fldChar w:fldCharType="separate"/>
      </w:r>
      <w:r>
        <w:rPr>
          <w:rStyle w:val="20"/>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3"/>
        <w:tabs>
          <w:tab w:val="right" w:leader="dot" w:pos="8296"/>
        </w:tabs>
        <w:spacing w:line="360" w:lineRule="auto"/>
      </w:pPr>
      <w:r>
        <w:rPr>
          <w:rFonts w:hint="eastAsia"/>
          <w:sz w:val="24"/>
          <w:szCs w:val="24"/>
        </w:rPr>
        <w:t>第六章拟签订的合同文本</w:t>
      </w:r>
      <w:r>
        <w:tab/>
      </w:r>
      <w:r>
        <w:rPr>
          <w:rFonts w:hint="eastAsia"/>
          <w:sz w:val="24"/>
        </w:rPr>
        <w:t>31</w:t>
      </w:r>
    </w:p>
    <w:p>
      <w:pPr>
        <w:spacing w:line="360" w:lineRule="auto"/>
        <w:jc w:val="center"/>
        <w:outlineLvl w:val="0"/>
        <w:rPr>
          <w:rFonts w:ascii="黑体" w:hAnsi="Arial" w:eastAsia="黑体"/>
          <w:b/>
          <w:sz w:val="44"/>
        </w:rPr>
      </w:pPr>
      <w:r>
        <w:rPr>
          <w:rFonts w:asciiTheme="minorEastAsia" w:hAnsiTheme="minorEastAsia" w:eastAsiaTheme="minorEastAsia"/>
          <w:b/>
          <w:sz w:val="40"/>
          <w:szCs w:val="28"/>
        </w:rPr>
        <w:fldChar w:fldCharType="end"/>
      </w: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300" w:lineRule="exact"/>
        <w:ind w:firstLine="560" w:firstLineChars="200"/>
        <w:rPr>
          <w:rFonts w:asciiTheme="minorEastAsia" w:hAnsiTheme="minorEastAsia" w:eastAsiaTheme="minorEastAsia"/>
          <w:sz w:val="28"/>
          <w:szCs w:val="28"/>
        </w:rPr>
      </w:pPr>
      <w:bookmarkStart w:id="8" w:name="OLE_LINK2"/>
      <w:bookmarkStart w:id="9" w:name="_Toc444669970"/>
      <w:bookmarkStart w:id="10" w:name="OLE_LINK1"/>
      <w:bookmarkStart w:id="11" w:name="_Toc120614211"/>
      <w:bookmarkStart w:id="12" w:name="_Toc513029242"/>
      <w:bookmarkStart w:id="13" w:name="_Toc120614221"/>
      <w:bookmarkStart w:id="14" w:name="_Toc479757207"/>
      <w:bookmarkStart w:id="15" w:name="_Toc20823314"/>
      <w:bookmarkStart w:id="16" w:name="_Toc16938558"/>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 xml:space="preserve">  医药实验动物中心动物饮用水设备 </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3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（一）采购项目名称：</w:t>
      </w:r>
      <w:r>
        <w:rPr>
          <w:rFonts w:hint="eastAsia" w:asciiTheme="minorEastAsia" w:hAnsiTheme="minorEastAsia" w:eastAsiaTheme="minorEastAsia"/>
          <w:sz w:val="24"/>
          <w:szCs w:val="24"/>
        </w:rPr>
        <w:t>医药实验动物中心动物饮用水设备购置项目</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 xml:space="preserve">（二）采购项目编号：NJMUZB3012019073 </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   ￥</w:t>
      </w:r>
      <w:r>
        <w:rPr>
          <w:rFonts w:asciiTheme="minorEastAsia" w:hAnsiTheme="minorEastAsia" w:eastAsiaTheme="minorEastAsia"/>
          <w:sz w:val="28"/>
          <w:szCs w:val="28"/>
        </w:rPr>
        <w:t>13</w:t>
      </w:r>
      <w:r>
        <w:rPr>
          <w:rFonts w:hint="eastAsia" w:asciiTheme="minorEastAsia" w:hAnsiTheme="minorEastAsia" w:eastAsiaTheme="minorEastAsia"/>
          <w:sz w:val="28"/>
          <w:szCs w:val="28"/>
        </w:rPr>
        <w:t>.5万元</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（二）该项目一律采用人民币报价(包干价)，其他币种报价不予接受，后果由投标人承担。</w:t>
      </w:r>
    </w:p>
    <w:p>
      <w:pPr>
        <w:spacing w:after="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bCs/>
          <w:sz w:val="28"/>
          <w:szCs w:val="28"/>
        </w:rPr>
        <w:t>（三）如为进口设备，需提供非免税报价。</w:t>
      </w:r>
    </w:p>
    <w:p>
      <w:pPr>
        <w:spacing w:beforeLines="50" w:afterLines="50" w:line="3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3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hint="eastAsia" w:asciiTheme="minorEastAsia" w:hAnsiTheme="minorEastAsia" w:eastAsiaTheme="minorEastAsia"/>
          <w:b/>
          <w:bCs/>
          <w:color w:val="FF0000"/>
          <w:sz w:val="28"/>
          <w:szCs w:val="28"/>
        </w:rPr>
        <w:t>（注：分别提供纸质材料并加盖公章，原件备查）</w:t>
      </w:r>
      <w:r>
        <w:rPr>
          <w:rFonts w:cs="Arial" w:asciiTheme="minorEastAsia" w:hAnsiTheme="minorEastAsia" w:eastAsiaTheme="minorEastAsia"/>
          <w:sz w:val="28"/>
          <w:szCs w:val="28"/>
        </w:rPr>
        <w:t>；</w:t>
      </w:r>
    </w:p>
    <w:p>
      <w:pPr>
        <w:spacing w:after="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w:t>
      </w:r>
      <w:r>
        <w:rPr>
          <w:rFonts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法人和授权代表</w:t>
      </w:r>
      <w:r>
        <w:rPr>
          <w:rFonts w:asciiTheme="minorEastAsia" w:hAnsiTheme="minorEastAsia" w:eastAsiaTheme="minorEastAsia"/>
          <w:sz w:val="28"/>
          <w:szCs w:val="28"/>
        </w:rPr>
        <w:t>的身份证明；</w:t>
      </w:r>
      <w:r>
        <w:rPr>
          <w:rFonts w:asciiTheme="minorEastAsia" w:hAnsiTheme="minorEastAsia" w:eastAsiaTheme="minorEastAsia"/>
          <w:sz w:val="28"/>
          <w:szCs w:val="28"/>
        </w:rPr>
        <w:br w:type="textWrapping"/>
      </w:r>
      <w:r>
        <w:rPr>
          <w:rFonts w:asciiTheme="minorEastAsia" w:hAnsiTheme="minorEastAsia" w:eastAsiaTheme="minorEastAsia"/>
          <w:sz w:val="28"/>
          <w:szCs w:val="28"/>
        </w:rPr>
        <w:t>　</w:t>
      </w:r>
      <w:r>
        <w:rPr>
          <w:rFonts w:hint="eastAsia" w:asciiTheme="minorEastAsia" w:hAnsiTheme="minorEastAsia" w:eastAsiaTheme="minorEastAsia"/>
          <w:sz w:val="28"/>
          <w:szCs w:val="28"/>
        </w:rPr>
        <w:t xml:space="preserve">  2、具有良好的商业信誉和健全的财务会计制度（提供参加本次采购活动前近六个月内（2019年1月至今）任一月份的资产负债表和利润表，或2018年经审计的财务报告（提供相关复印件并加盖公章），或银行出具的资信证明，或财政部门认可的专业担保机构出具的投标担保函（法人或者其他组织成立未满一年的可以不提供）；</w:t>
      </w:r>
    </w:p>
    <w:p>
      <w:pPr>
        <w:spacing w:beforeLines="50" w:afterLines="50" w:line="3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3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line="3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投标文件接收开始时间：</w:t>
      </w:r>
      <w:r>
        <w:rPr>
          <w:rFonts w:hint="eastAsia" w:asciiTheme="minorEastAsia" w:hAnsiTheme="minorEastAsia" w:eastAsiaTheme="minorEastAsia"/>
          <w:sz w:val="24"/>
          <w:szCs w:val="24"/>
          <w:highlight w:val="none"/>
        </w:rPr>
        <w:t>2019年12月</w:t>
      </w:r>
      <w:r>
        <w:rPr>
          <w:rFonts w:hint="eastAsia" w:asciiTheme="minorEastAsia" w:hAnsiTheme="minorEastAsia" w:eastAsiaTheme="minorEastAsia"/>
          <w:sz w:val="24"/>
          <w:szCs w:val="24"/>
          <w:highlight w:val="none"/>
          <w:lang w:val="en-US" w:eastAsia="zh-CN"/>
        </w:rPr>
        <w:t>10</w:t>
      </w:r>
      <w:r>
        <w:rPr>
          <w:rFonts w:hint="eastAsia" w:asciiTheme="minorEastAsia" w:hAnsiTheme="minorEastAsia" w:eastAsiaTheme="minorEastAsia"/>
          <w:sz w:val="24"/>
          <w:szCs w:val="24"/>
          <w:highlight w:val="none"/>
        </w:rPr>
        <w:t>日上午8:30</w:t>
      </w:r>
      <w:r>
        <w:rPr>
          <w:rFonts w:hint="eastAsia" w:asciiTheme="minorEastAsia" w:hAnsiTheme="minorEastAsia" w:eastAsiaTheme="minorEastAsia"/>
          <w:sz w:val="24"/>
          <w:szCs w:val="24"/>
        </w:rPr>
        <w:t>（北京时间）</w:t>
      </w:r>
    </w:p>
    <w:p>
      <w:pPr>
        <w:spacing w:line="300" w:lineRule="exact"/>
        <w:ind w:firstLine="1080" w:firstLineChars="450"/>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投标文件接收截止时间：</w:t>
      </w:r>
      <w:r>
        <w:rPr>
          <w:rFonts w:hint="eastAsia" w:asciiTheme="minorEastAsia" w:hAnsiTheme="minorEastAsia" w:eastAsiaTheme="minorEastAsia"/>
          <w:sz w:val="24"/>
          <w:szCs w:val="24"/>
          <w:highlight w:val="none"/>
        </w:rPr>
        <w:t>2019年12月</w:t>
      </w:r>
      <w:r>
        <w:rPr>
          <w:rFonts w:hint="eastAsia" w:asciiTheme="minorEastAsia" w:hAnsiTheme="minorEastAsia" w:eastAsiaTheme="minorEastAsia"/>
          <w:sz w:val="24"/>
          <w:szCs w:val="24"/>
          <w:highlight w:val="none"/>
          <w:lang w:val="en-US" w:eastAsia="zh-CN"/>
        </w:rPr>
        <w:t>10</w:t>
      </w:r>
      <w:r>
        <w:rPr>
          <w:rFonts w:hint="eastAsia" w:asciiTheme="minorEastAsia" w:hAnsiTheme="minorEastAsia" w:eastAsiaTheme="minorEastAsia"/>
          <w:sz w:val="24"/>
          <w:szCs w:val="24"/>
          <w:highlight w:val="none"/>
        </w:rPr>
        <w:t>日上午9:15</w:t>
      </w:r>
      <w:r>
        <w:rPr>
          <w:rFonts w:hint="eastAsia" w:asciiTheme="minorEastAsia" w:hAnsiTheme="minorEastAsia" w:eastAsiaTheme="minorEastAsia"/>
          <w:sz w:val="24"/>
          <w:szCs w:val="24"/>
        </w:rPr>
        <w:t>（北京时间）</w:t>
      </w:r>
    </w:p>
    <w:p>
      <w:pPr>
        <w:spacing w:line="300" w:lineRule="exact"/>
        <w:ind w:left="1089" w:leftChars="495"/>
        <w:rPr>
          <w:rFonts w:asciiTheme="minorEastAsia" w:hAnsiTheme="minorEastAsia" w:eastAsiaTheme="minorEastAsia"/>
          <w:sz w:val="24"/>
          <w:szCs w:val="24"/>
        </w:rPr>
      </w:pPr>
      <w:r>
        <w:rPr>
          <w:rFonts w:hint="eastAsia" w:asciiTheme="minorEastAsia" w:hAnsiTheme="minorEastAsia" w:eastAsiaTheme="minorEastAsia"/>
          <w:sz w:val="24"/>
          <w:szCs w:val="24"/>
        </w:rPr>
        <w:t>投标文件接收地点：南京医科大学江宁校区德馨楼B323室</w:t>
      </w:r>
    </w:p>
    <w:p>
      <w:pPr>
        <w:spacing w:line="300" w:lineRule="exact"/>
        <w:ind w:firstLine="240" w:firstLineChars="100"/>
        <w:rPr>
          <w:rFonts w:asciiTheme="minorEastAsia" w:hAnsiTheme="minorEastAsia" w:eastAsiaTheme="minorEastAsia"/>
          <w:sz w:val="24"/>
          <w:szCs w:val="24"/>
        </w:rPr>
      </w:pPr>
      <w:r>
        <w:rPr>
          <w:rFonts w:hint="eastAsia" w:asciiTheme="minorEastAsia" w:hAnsiTheme="minorEastAsia" w:eastAsiaTheme="minorEastAsia"/>
          <w:sz w:val="24"/>
          <w:szCs w:val="24"/>
        </w:rPr>
        <w:t>（南京市江宁区龙眠大道101号，地铁1号南延线南医大-江苏经贸学院站）。</w:t>
      </w:r>
    </w:p>
    <w:p>
      <w:pPr>
        <w:spacing w:line="3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（二）</w:t>
      </w:r>
      <w:r>
        <w:rPr>
          <w:rFonts w:hint="eastAsia" w:asciiTheme="minorEastAsia" w:hAnsiTheme="minorEastAsia" w:eastAsiaTheme="minorEastAsia"/>
          <w:sz w:val="24"/>
          <w:szCs w:val="24"/>
        </w:rPr>
        <w:t>开标时间：</w:t>
      </w:r>
      <w:r>
        <w:rPr>
          <w:rFonts w:hint="eastAsia" w:asciiTheme="minorEastAsia" w:hAnsiTheme="minorEastAsia" w:eastAsiaTheme="minorEastAsia"/>
          <w:sz w:val="24"/>
          <w:szCs w:val="24"/>
          <w:highlight w:val="none"/>
        </w:rPr>
        <w:t>2019年12月</w:t>
      </w:r>
      <w:r>
        <w:rPr>
          <w:rFonts w:hint="eastAsia" w:asciiTheme="minorEastAsia" w:hAnsiTheme="minorEastAsia" w:eastAsiaTheme="minorEastAsia"/>
          <w:sz w:val="24"/>
          <w:szCs w:val="24"/>
          <w:highlight w:val="none"/>
          <w:lang w:val="en-US" w:eastAsia="zh-CN"/>
        </w:rPr>
        <w:t>10</w:t>
      </w:r>
      <w:r>
        <w:rPr>
          <w:rFonts w:hint="eastAsia" w:asciiTheme="minorEastAsia" w:hAnsiTheme="minorEastAsia" w:eastAsiaTheme="minorEastAsia"/>
          <w:sz w:val="24"/>
          <w:szCs w:val="24"/>
          <w:highlight w:val="none"/>
        </w:rPr>
        <w:t>日上午9:15</w:t>
      </w:r>
      <w:r>
        <w:rPr>
          <w:rFonts w:hint="eastAsia" w:asciiTheme="minorEastAsia" w:hAnsiTheme="minorEastAsia" w:eastAsiaTheme="minorEastAsia"/>
          <w:sz w:val="24"/>
          <w:szCs w:val="24"/>
        </w:rPr>
        <w:t>（北京时间）</w:t>
      </w:r>
    </w:p>
    <w:p>
      <w:pPr>
        <w:spacing w:line="3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numPr>
          <w:ilvl w:val="0"/>
          <w:numId w:val="3"/>
        </w:num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投标文件接收要求：投标文件一式五份，其中正本一份、副本四份，在标书封面标注“正本”、“副本”字样，标书密封并在封口处加盖公章。逾期送达及未按要求密封的投标文件，采购人不予接收。</w:t>
      </w:r>
    </w:p>
    <w:p>
      <w:pPr>
        <w:numPr>
          <w:ilvl w:val="255"/>
          <w:numId w:val="0"/>
        </w:numPr>
        <w:spacing w:beforeLines="50" w:afterLines="50" w:line="300" w:lineRule="exact"/>
        <w:ind w:firstLine="500" w:firstLineChars="200"/>
        <w:rPr>
          <w:rFonts w:asciiTheme="minorEastAsia" w:hAnsiTheme="minorEastAsia" w:eastAsiaTheme="minorEastAsia"/>
          <w:sz w:val="28"/>
          <w:szCs w:val="28"/>
        </w:rPr>
      </w:pPr>
      <w:r>
        <w:rPr>
          <w:rFonts w:hint="eastAsia"/>
          <w:b/>
          <w:i/>
          <w:color w:val="FF0000"/>
          <w:sz w:val="25"/>
          <w:szCs w:val="25"/>
          <w:u w:val="single"/>
        </w:rPr>
        <w:t>（四）开标一览表必须加</w:t>
      </w:r>
      <w:r>
        <w:rPr>
          <w:rFonts w:hint="eastAsia"/>
          <w:b/>
          <w:bCs/>
          <w:i/>
          <w:iCs/>
          <w:color w:val="FF0000"/>
          <w:sz w:val="25"/>
          <w:szCs w:val="25"/>
          <w:u w:val="single"/>
        </w:rPr>
        <w:t>盖投标人公章（复印件无效），必须</w:t>
      </w:r>
      <w:r>
        <w:rPr>
          <w:rFonts w:hint="eastAsia"/>
          <w:b/>
          <w:i/>
          <w:color w:val="FF0000"/>
          <w:sz w:val="25"/>
          <w:szCs w:val="25"/>
          <w:u w:val="single"/>
        </w:rPr>
        <w:t>单独密封在信封中，在投标截止时间前与投标文件分别递交，否则视为无效投标。</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（五）需要现场澄清的问题，投标商代表未到场书面澄清确认的，后果自负。</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3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3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3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3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3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项目需求方联系人：周</w:t>
      </w:r>
      <w:r>
        <w:rPr>
          <w:rFonts w:hint="eastAsia" w:ascii="宋体" w:hAnsi="宋体" w:eastAsia="宋体" w:cs="Times New Roman"/>
          <w:sz w:val="24"/>
          <w:szCs w:val="24"/>
        </w:rPr>
        <w:t xml:space="preserve">老师            </w:t>
      </w:r>
      <w:r>
        <w:rPr>
          <w:rFonts w:hint="eastAsia" w:asciiTheme="minorEastAsia" w:hAnsiTheme="minorEastAsia" w:eastAsiaTheme="minorEastAsia"/>
          <w:sz w:val="24"/>
          <w:szCs w:val="24"/>
        </w:rPr>
        <w:t xml:space="preserve">电话： </w:t>
      </w:r>
      <w:r>
        <w:rPr>
          <w:rFonts w:asciiTheme="minorEastAsia" w:hAnsiTheme="minorEastAsia" w:eastAsiaTheme="minorEastAsia"/>
          <w:sz w:val="24"/>
          <w:szCs w:val="24"/>
        </w:rPr>
        <w:t>15380788368</w:t>
      </w:r>
    </w:p>
    <w:p>
      <w:pPr>
        <w:spacing w:line="3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3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3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300" w:lineRule="exact"/>
        <w:ind w:firstLine="560" w:firstLineChars="200"/>
        <w:rPr>
          <w:rFonts w:asciiTheme="minorEastAsia" w:hAnsiTheme="minorEastAsia" w:eastAsiaTheme="minorEastAsia"/>
          <w:sz w:val="24"/>
          <w:szCs w:val="24"/>
        </w:rPr>
      </w:pPr>
      <w:r>
        <w:rPr>
          <w:rFonts w:hint="eastAsia" w:asciiTheme="minorEastAsia" w:hAnsiTheme="minorEastAsia" w:eastAsiaTheme="minorEastAsia"/>
          <w:sz w:val="28"/>
          <w:szCs w:val="28"/>
        </w:rPr>
        <w:t>1、本次招标现场勘查时间：</w:t>
      </w:r>
      <w:r>
        <w:rPr>
          <w:rFonts w:hint="eastAsia" w:asciiTheme="minorEastAsia" w:hAnsiTheme="minorEastAsia" w:eastAsiaTheme="minorEastAsia"/>
          <w:sz w:val="24"/>
          <w:szCs w:val="24"/>
          <w:highlight w:val="none"/>
        </w:rPr>
        <w:t>201</w:t>
      </w:r>
      <w:r>
        <w:rPr>
          <w:rFonts w:hint="eastAsia" w:asciiTheme="minorEastAsia" w:hAnsiTheme="minorEastAsia" w:eastAsiaTheme="minorEastAsia"/>
          <w:sz w:val="24"/>
          <w:szCs w:val="24"/>
          <w:highlight w:val="none"/>
          <w:lang w:val="en-US" w:eastAsia="zh-CN"/>
        </w:rPr>
        <w:t>9</w:t>
      </w:r>
      <w:r>
        <w:rPr>
          <w:rFonts w:hint="eastAsia" w:asciiTheme="minorEastAsia" w:hAnsiTheme="minorEastAsia" w:eastAsiaTheme="minorEastAsia"/>
          <w:sz w:val="24"/>
          <w:szCs w:val="24"/>
          <w:highlight w:val="none"/>
        </w:rPr>
        <w:t>年11月</w:t>
      </w:r>
      <w:r>
        <w:rPr>
          <w:rFonts w:hint="eastAsia" w:asciiTheme="minorEastAsia" w:hAnsiTheme="minorEastAsia" w:eastAsiaTheme="minorEastAsia"/>
          <w:sz w:val="24"/>
          <w:szCs w:val="24"/>
          <w:highlight w:val="none"/>
          <w:lang w:val="en-US" w:eastAsia="zh-CN"/>
        </w:rPr>
        <w:t>28</w:t>
      </w:r>
      <w:r>
        <w:rPr>
          <w:rFonts w:hint="eastAsia" w:asciiTheme="minorEastAsia" w:hAnsiTheme="minorEastAsia" w:eastAsiaTheme="minorEastAsia"/>
          <w:sz w:val="24"/>
          <w:szCs w:val="24"/>
          <w:highlight w:val="none"/>
        </w:rPr>
        <w:t>日上午10:00</w:t>
      </w:r>
      <w:bookmarkStart w:id="180" w:name="_GoBack"/>
      <w:bookmarkEnd w:id="180"/>
    </w:p>
    <w:p>
      <w:pPr>
        <w:spacing w:beforeLines="50" w:afterLines="50" w:line="300" w:lineRule="exact"/>
        <w:ind w:left="4320" w:leftChars="218" w:hanging="3840" w:hangingChars="1600"/>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              </w:t>
      </w:r>
      <w:r>
        <w:rPr>
          <w:rFonts w:hint="eastAsia" w:asciiTheme="minorEastAsia" w:hAnsiTheme="minorEastAsia" w:eastAsiaTheme="minorEastAsia"/>
          <w:sz w:val="28"/>
          <w:szCs w:val="28"/>
        </w:rPr>
        <w:t>现场勘查地点：医药实验动物中心（江宁校区）</w:t>
      </w:r>
      <w:r>
        <w:rPr>
          <w:rFonts w:hint="eastAsia" w:asciiTheme="minorEastAsia" w:hAnsiTheme="minorEastAsia" w:eastAsiaTheme="minorEastAsia"/>
          <w:sz w:val="24"/>
          <w:szCs w:val="24"/>
        </w:rPr>
        <w:t>（南京市江宁区龙眠大道101号）</w:t>
      </w:r>
    </w:p>
    <w:p>
      <w:pPr>
        <w:spacing w:beforeLines="50" w:afterLines="50" w:line="300" w:lineRule="exact"/>
        <w:ind w:left="4320" w:leftChars="218" w:hanging="3840" w:hangingChars="1600"/>
        <w:rPr>
          <w:rFonts w:asciiTheme="minorEastAsia" w:hAnsiTheme="minorEastAsia" w:eastAsiaTheme="minorEastAsia"/>
          <w:sz w:val="28"/>
          <w:szCs w:val="28"/>
        </w:rPr>
      </w:pPr>
      <w:r>
        <w:rPr>
          <w:rFonts w:hint="eastAsia" w:asciiTheme="minorEastAsia" w:hAnsiTheme="minorEastAsia" w:eastAsiaTheme="minorEastAsia"/>
          <w:sz w:val="24"/>
          <w:szCs w:val="24"/>
        </w:rPr>
        <w:t xml:space="preserve">     </w:t>
      </w:r>
      <w:r>
        <w:rPr>
          <w:rFonts w:hint="eastAsia" w:asciiTheme="minorEastAsia" w:hAnsiTheme="minorEastAsia" w:eastAsiaTheme="minorEastAsia"/>
          <w:sz w:val="28"/>
          <w:szCs w:val="28"/>
        </w:rPr>
        <w:t>现场勘查联系人：付老师       联系电话：13584055556</w:t>
      </w:r>
    </w:p>
    <w:p>
      <w:pPr>
        <w:spacing w:beforeLines="50" w:afterLines="50" w:line="300" w:lineRule="exact"/>
        <w:ind w:left="838" w:leftChars="381"/>
        <w:rPr>
          <w:rFonts w:asciiTheme="minorEastAsia" w:hAnsiTheme="minorEastAsia" w:eastAsiaTheme="minorEastAsia"/>
          <w:b/>
          <w:bCs/>
          <w:color w:val="FF0000"/>
          <w:sz w:val="28"/>
          <w:szCs w:val="28"/>
        </w:rPr>
      </w:pPr>
      <w:r>
        <w:rPr>
          <w:rFonts w:hint="eastAsia" w:asciiTheme="minorEastAsia" w:hAnsiTheme="minorEastAsia" w:eastAsiaTheme="minorEastAsia"/>
          <w:b/>
          <w:bCs/>
          <w:color w:val="FF0000"/>
          <w:sz w:val="28"/>
          <w:szCs w:val="28"/>
        </w:rPr>
        <w:t>请潜在投标人携带公司营业执照、身份证复印件及授权函等材料于以上时间内在勘察地点集中，参与本次项目的现场勘察！</w:t>
      </w:r>
    </w:p>
    <w:p>
      <w:pPr>
        <w:spacing w:beforeLines="50" w:afterLines="50" w:line="300" w:lineRule="exact"/>
        <w:ind w:left="4960" w:leftChars="218" w:hanging="4480" w:hangingChars="16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120614213"/>
      <w:bookmarkStart w:id="19" w:name="_Toc513029202"/>
      <w:bookmarkStart w:id="20" w:name="_Toc20823274"/>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16938519"/>
      <w:bookmarkStart w:id="23" w:name="_Toc513029203"/>
      <w:bookmarkStart w:id="24" w:name="_Toc120614214"/>
      <w:bookmarkStart w:id="25" w:name="_Toc20823275"/>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20823276"/>
      <w:bookmarkStart w:id="29" w:name="_Toc513029204"/>
      <w:bookmarkStart w:id="30" w:name="_Toc16938520"/>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16938521"/>
      <w:bookmarkStart w:id="32" w:name="_Toc513029205"/>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513029206"/>
      <w:bookmarkStart w:id="35" w:name="_Toc16938522"/>
      <w:bookmarkStart w:id="36" w:name="_Toc20823278"/>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513029207"/>
      <w:bookmarkStart w:id="38" w:name="_Toc462564067"/>
      <w:bookmarkStart w:id="39" w:name="_Toc16938523"/>
      <w:bookmarkStart w:id="40" w:name="_Toc20823279"/>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6938525"/>
      <w:bookmarkStart w:id="42" w:name="_Toc20823281"/>
      <w:bookmarkStart w:id="43" w:name="_Toc513029209"/>
      <w:bookmarkStart w:id="44" w:name="_Toc120614215"/>
      <w:bookmarkStart w:id="45" w:name="_Toc517190883"/>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20823282"/>
      <w:bookmarkStart w:id="47" w:name="_Toc16938526"/>
      <w:bookmarkStart w:id="48" w:name="_Toc513029210"/>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16938527"/>
      <w:bookmarkStart w:id="50" w:name="_Toc462564070"/>
      <w:bookmarkStart w:id="51" w:name="_Toc513029211"/>
      <w:bookmarkStart w:id="52" w:name="_Toc20823283"/>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513029212"/>
      <w:bookmarkStart w:id="54" w:name="_Toc462564071"/>
      <w:bookmarkStart w:id="55" w:name="_Toc20823284"/>
      <w:bookmarkStart w:id="56" w:name="_Toc16938528"/>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513029213"/>
      <w:bookmarkStart w:id="58" w:name="_Toc20823285"/>
      <w:bookmarkStart w:id="59" w:name="_Toc120614216"/>
      <w:bookmarkStart w:id="60" w:name="_Toc517190884"/>
      <w:bookmarkStart w:id="61" w:name="_Toc462564072"/>
      <w:bookmarkStart w:id="62" w:name="_Toc16938529"/>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513029214"/>
      <w:bookmarkStart w:id="64" w:name="_Toc16938530"/>
      <w:bookmarkStart w:id="65" w:name="_Toc462564073"/>
      <w:bookmarkStart w:id="66" w:name="_Toc20823286"/>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462564074"/>
      <w:bookmarkStart w:id="68" w:name="_Toc16938531"/>
      <w:bookmarkStart w:id="69" w:name="_Toc513029215"/>
      <w:bookmarkStart w:id="70" w:name="_Toc20823287"/>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670360"/>
      <w:bookmarkEnd w:id="72"/>
      <w:bookmarkStart w:id="73" w:name="_Hlt26954838"/>
      <w:bookmarkEnd w:id="73"/>
      <w:bookmarkStart w:id="74" w:name="_Toc49090509"/>
      <w:bookmarkStart w:id="75" w:name="_Toc513029219"/>
      <w:bookmarkStart w:id="76" w:name="_Toc14577357"/>
      <w:bookmarkStart w:id="77" w:name="_Toc14577354"/>
      <w:bookmarkStart w:id="78" w:name="_Toc49090507"/>
      <w:bookmarkStart w:id="79" w:name="_Toc513029216"/>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25"/>
      <w:bookmarkEnd w:id="86"/>
      <w:bookmarkStart w:id="87" w:name="_Hlt26954844"/>
      <w:bookmarkEnd w:id="87"/>
      <w:bookmarkStart w:id="88" w:name="_Hlt26668983"/>
      <w:bookmarkEnd w:id="88"/>
      <w:bookmarkStart w:id="89" w:name="_Hlt26670403"/>
      <w:bookmarkEnd w:id="89"/>
      <w:bookmarkStart w:id="90" w:name="_Hlt26954842"/>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8"/>
      <w:bookmarkEnd w:id="91"/>
      <w:bookmarkStart w:id="92" w:name="_Hlt26670482"/>
      <w:bookmarkEnd w:id="92"/>
      <w:bookmarkStart w:id="93" w:name="_Hlt26954846"/>
      <w:bookmarkEnd w:id="93"/>
      <w:bookmarkStart w:id="94" w:name="_Hlt26954731"/>
      <w:bookmarkEnd w:id="94"/>
      <w:bookmarkStart w:id="95" w:name="_Hlt26670486"/>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670489"/>
      <w:bookmarkEnd w:id="98"/>
      <w:bookmarkStart w:id="99" w:name="_Hlt26954734"/>
      <w:bookmarkEnd w:id="99"/>
      <w:bookmarkStart w:id="100" w:name="_Hlt26954850"/>
      <w:bookmarkEnd w:id="100"/>
      <w:bookmarkStart w:id="101" w:name="_Hlt26954739"/>
      <w:bookmarkEnd w:id="101"/>
      <w:bookmarkStart w:id="102" w:name="_Hlt26954852"/>
      <w:bookmarkEnd w:id="102"/>
      <w:bookmarkStart w:id="103" w:name="_Toc14577361"/>
      <w:bookmarkStart w:id="104" w:name="_Toc49090512"/>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513029224"/>
      <w:bookmarkStart w:id="106" w:name="_Toc16938540"/>
      <w:bookmarkStart w:id="107" w:name="_Toc20823296"/>
      <w:bookmarkStart w:id="108" w:name="_Toc120614217"/>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462564084"/>
      <w:bookmarkStart w:id="111" w:name="_Toc513029225"/>
      <w:bookmarkStart w:id="112" w:name="_Toc16938541"/>
      <w:bookmarkStart w:id="113" w:name="_Toc20823297"/>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513029226"/>
      <w:bookmarkStart w:id="115" w:name="_Toc16938542"/>
      <w:bookmarkStart w:id="116" w:name="_Toc20823298"/>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16938543"/>
      <w:bookmarkStart w:id="118" w:name="_Toc20823299"/>
      <w:bookmarkStart w:id="119" w:name="_Toc513029227"/>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513029228"/>
      <w:bookmarkStart w:id="121" w:name="_Toc16938544"/>
      <w:bookmarkStart w:id="122" w:name="_Toc20823300"/>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7190886"/>
      <w:bookmarkStart w:id="124" w:name="_Toc513029229"/>
      <w:bookmarkStart w:id="125" w:name="_Toc16938545"/>
      <w:bookmarkStart w:id="126" w:name="_Toc20823301"/>
      <w:bookmarkStart w:id="127" w:name="_Toc120614218"/>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513029230"/>
      <w:bookmarkStart w:id="129" w:name="_Toc16938546"/>
      <w:bookmarkStart w:id="130" w:name="_Toc20823302"/>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20823304"/>
      <w:bookmarkStart w:id="135" w:name="_Toc513029232"/>
      <w:bookmarkStart w:id="136" w:name="_Toc16938548"/>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513029234"/>
      <w:bookmarkStart w:id="138" w:name="_Toc16938550"/>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513029235"/>
      <w:bookmarkStart w:id="141" w:name="_Toc16938551"/>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4"/>
      <w:bookmarkStart w:id="150" w:name="OLE_LINK5"/>
      <w:bookmarkStart w:id="151" w:name="OLE_LINK6"/>
      <w:bookmarkStart w:id="152" w:name="OLE_LINK7"/>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517190888"/>
      <w:bookmarkStart w:id="156" w:name="_Toc120614220"/>
      <w:bookmarkStart w:id="157" w:name="_Toc16938552"/>
      <w:bookmarkStart w:id="158" w:name="_Toc513029236"/>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16938553"/>
      <w:bookmarkStart w:id="161" w:name="_Toc513029237"/>
      <w:bookmarkStart w:id="162" w:name="_Toc20823309"/>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一、参数要求</w:t>
      </w:r>
    </w:p>
    <w:p>
      <w:pPr>
        <w:spacing w:line="440" w:lineRule="exact"/>
        <w:ind w:firstLine="548" w:firstLineChars="196"/>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1、设备要求产水量</w:t>
      </w:r>
      <w:r>
        <w:rPr>
          <w:rFonts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t>m³/h，二级反渗透；</w:t>
      </w:r>
    </w:p>
    <w:p>
      <w:pPr>
        <w:spacing w:line="440" w:lineRule="exact"/>
        <w:ind w:left="1119" w:leftChars="254" w:hanging="560" w:hanging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2、设备要求反渗透脱盐率：≥98%；出水水质：达到2005年版药典纯化水水质要求（电导率≤2μs/cm）；</w:t>
      </w:r>
    </w:p>
    <w:p>
      <w:pPr>
        <w:spacing w:line="440" w:lineRule="exact"/>
        <w:ind w:left="1119" w:leftChars="254" w:hanging="560" w:hanging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3、因动物饮用水的要求，设备必须加装自动加酸装置，并且在加酸的过程中，酸浓度可调；</w:t>
      </w:r>
    </w:p>
    <w:p>
      <w:pPr>
        <w:spacing w:line="440" w:lineRule="exact"/>
        <w:ind w:firstLine="560" w:firstLineChars="200"/>
        <w:rPr>
          <w:rFonts w:asciiTheme="minorEastAsia" w:hAnsiTheme="minorEastAsia" w:eastAsiaTheme="minorEastAsia" w:cstheme="minorEastAsia"/>
          <w:color w:val="000000"/>
          <w:spacing w:val="-6"/>
          <w:sz w:val="28"/>
          <w:szCs w:val="28"/>
        </w:rPr>
      </w:pP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color w:val="000000"/>
          <w:spacing w:val="-6"/>
          <w:sz w:val="28"/>
          <w:szCs w:val="28"/>
        </w:rPr>
        <w:t>需提供设备的相关检测报告及其它证明材料。</w:t>
      </w:r>
    </w:p>
    <w:p>
      <w:pPr>
        <w:spacing w:line="440" w:lineRule="exact"/>
        <w:ind w:firstLine="536" w:firstLineChars="200"/>
        <w:rPr>
          <w:rFonts w:asciiTheme="minorEastAsia" w:hAnsiTheme="minorEastAsia" w:eastAsiaTheme="minorEastAsia" w:cstheme="minorEastAsia"/>
          <w:color w:val="000000"/>
          <w:spacing w:val="-6"/>
          <w:sz w:val="28"/>
          <w:szCs w:val="28"/>
        </w:rPr>
      </w:pPr>
      <w:r>
        <w:rPr>
          <w:rFonts w:hint="eastAsia" w:asciiTheme="minorEastAsia" w:hAnsiTheme="minorEastAsia" w:eastAsiaTheme="minorEastAsia" w:cstheme="minorEastAsia"/>
          <w:color w:val="000000"/>
          <w:spacing w:val="-6"/>
          <w:sz w:val="28"/>
          <w:szCs w:val="28"/>
        </w:rPr>
        <w:t>5、设备采用不锈钢材质。</w:t>
      </w:r>
    </w:p>
    <w:p>
      <w:pPr>
        <w:spacing w:line="440" w:lineRule="exact"/>
        <w:ind w:firstLine="536" w:firstLineChars="200"/>
        <w:rPr>
          <w:rFonts w:asciiTheme="minorEastAsia" w:hAnsiTheme="minorEastAsia" w:eastAsiaTheme="minorEastAsia" w:cstheme="minorEastAsia"/>
          <w:color w:val="000000"/>
          <w:spacing w:val="-6"/>
          <w:sz w:val="28"/>
          <w:szCs w:val="28"/>
        </w:rPr>
      </w:pP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w:t>
      </w:r>
      <w:r>
        <w:rPr>
          <w:rFonts w:cs="Times New Roman" w:asciiTheme="minorEastAsia" w:hAnsiTheme="minorEastAsia" w:eastAsiaTheme="minorEastAsia"/>
          <w:kern w:val="2"/>
          <w:sz w:val="28"/>
          <w:szCs w:val="28"/>
        </w:rPr>
        <w:t>2</w:t>
      </w:r>
      <w:r>
        <w:rPr>
          <w:rFonts w:hint="eastAsia" w:cs="Times New Roman" w:asciiTheme="minorEastAsia" w:hAnsiTheme="minorEastAsia" w:eastAsiaTheme="minorEastAsia"/>
          <w:kern w:val="2"/>
          <w:sz w:val="28"/>
          <w:szCs w:val="28"/>
        </w:rPr>
        <w:t>年，终身维修，自验收合格次日起算，并提供相关承诺书。质保期内发生任何设备损坏，所需要的维修费用（包括零部件费用、维修费用）均由卖方承担（人为操作不当造成的损坏除外）。</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4"/>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440" w:lineRule="exact"/>
        <w:ind w:firstLine="280" w:firstLineChars="100"/>
        <w:rPr>
          <w:rFonts w:cs="Times New Roman" w:asciiTheme="minorEastAsia" w:hAnsiTheme="minorEastAsia" w:eastAsiaTheme="minorEastAsia"/>
          <w:kern w:val="2"/>
          <w:sz w:val="28"/>
          <w:szCs w:val="28"/>
        </w:rPr>
      </w:pPr>
      <w:r>
        <w:rPr>
          <w:rFonts w:hint="eastAsia" w:asciiTheme="minorEastAsia" w:hAnsiTheme="minorEastAsia" w:eastAsiaTheme="minorEastAsia" w:cstheme="minorEastAsia"/>
          <w:sz w:val="28"/>
          <w:szCs w:val="28"/>
        </w:rPr>
        <w:t>（5）提</w:t>
      </w:r>
      <w:r>
        <w:rPr>
          <w:rFonts w:hint="eastAsia" w:cs="Times New Roman" w:asciiTheme="minorEastAsia" w:hAnsiTheme="minorEastAsia" w:eastAsiaTheme="minorEastAsia"/>
          <w:kern w:val="2"/>
          <w:sz w:val="28"/>
          <w:szCs w:val="28"/>
        </w:rPr>
        <w:t>供完备的设计、施工方案：</w:t>
      </w:r>
    </w:p>
    <w:p>
      <w:pPr>
        <w:spacing w:line="440" w:lineRule="exact"/>
        <w:ind w:left="1126" w:leftChars="381" w:hanging="288" w:hangingChars="103"/>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（5.1）本套设备安装在医药实验动物中心公用平台一楼，因现场场地位置受限，投标方须能够根据需方的现场条件，变更设备组合方式，以适应招标方需求；</w:t>
      </w:r>
    </w:p>
    <w:p>
      <w:pPr>
        <w:spacing w:line="440" w:lineRule="exact"/>
        <w:ind w:left="1126" w:leftChars="381" w:hanging="288" w:hangingChars="103"/>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（5.2）设备安置现场至用水点有一定距离，投标方须充分考虑管路设置。</w:t>
      </w:r>
    </w:p>
    <w:p>
      <w:pPr>
        <w:spacing w:line="440" w:lineRule="exact"/>
        <w:ind w:left="1120" w:leftChars="381" w:hanging="282" w:hangingChars="101"/>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（5.3）若因设备安置的落差不够导致用水点无法正常使用，投标方须安装增压泵；</w:t>
      </w:r>
    </w:p>
    <w:p>
      <w:pPr>
        <w:pStyle w:val="14"/>
        <w:spacing w:line="0" w:lineRule="atLeast"/>
        <w:ind w:left="982" w:leftChars="128" w:hanging="700" w:hangingChars="250"/>
        <w:rPr>
          <w:rFonts w:cs="Times New Roman" w:asciiTheme="minorEastAsia" w:hAnsiTheme="minorEastAsia" w:eastAsiaTheme="minorEastAsia"/>
          <w:kern w:val="2"/>
          <w:sz w:val="28"/>
          <w:szCs w:val="28"/>
        </w:rPr>
      </w:pP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asciiTheme="minorEastAsia" w:hAnsiTheme="minorEastAsia" w:eastAsiaTheme="minorEastAsia"/>
          <w:bCs/>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合同签订生效后，进口设备（免税）三个月内、国产设备及进口设备（非免税）一个月内全部设备、材料运抵现场，并安装、调试结束，验收合格，交付买方使用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4"/>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4"/>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4"/>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Theme="minorEastAsia" w:hAnsiTheme="minorEastAsia" w:eastAsiaTheme="minorEastAsia"/>
          <w:b/>
          <w:bCs/>
          <w:sz w:val="44"/>
          <w:szCs w:val="44"/>
        </w:rPr>
      </w:pPr>
      <w:bookmarkStart w:id="165" w:name="_Toc401414769"/>
      <w:r>
        <w:rPr>
          <w:rFonts w:hint="eastAsia" w:ascii="宋体" w:hAnsi="宋体" w:eastAsia="宋体" w:cs="宋体"/>
          <w:szCs w:val="21"/>
        </w:rPr>
        <w:t>货到后以15天为验收期限，验收期满或验收合格后付全款；</w:t>
      </w: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jc w:val="left"/>
        <w:rPr>
          <w:rFonts w:ascii="宋体" w:hAnsi="宋体" w:eastAsia="宋体"/>
          <w:b/>
          <w:bCs/>
          <w:sz w:val="44"/>
          <w:szCs w:val="44"/>
        </w:rPr>
      </w:pPr>
      <w:bookmarkStart w:id="166" w:name="_Toc523931348"/>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Pr>
        <w:pStyle w:val="2"/>
        <w:keepNext w:val="0"/>
        <w:keepLines/>
        <w:spacing w:line="360" w:lineRule="auto"/>
        <w:ind w:firstLine="883" w:firstLineChars="200"/>
        <w:rPr>
          <w:rFonts w:ascii="宋体" w:hAnsi="宋体" w:eastAsia="宋体"/>
          <w:b/>
          <w:bCs/>
          <w:sz w:val="44"/>
          <w:szCs w:val="44"/>
        </w:rPr>
      </w:pPr>
    </w:p>
    <w:p/>
    <w:p/>
    <w:p/>
    <w:p>
      <w:pPr>
        <w:pStyle w:val="2"/>
        <w:keepNext w:val="0"/>
        <w:keepLines/>
        <w:spacing w:line="360" w:lineRule="auto"/>
        <w:jc w:val="both"/>
        <w:rPr>
          <w:rFonts w:ascii="宋体" w:hAnsi="宋体" w:eastAsia="宋体"/>
          <w:b/>
          <w:bCs/>
          <w:sz w:val="44"/>
          <w:szCs w:val="44"/>
        </w:rPr>
      </w:pP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17"/>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6"/>
        <w:gridCol w:w="1842"/>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tblHeader/>
        </w:trPr>
        <w:tc>
          <w:tcPr>
            <w:tcW w:w="676" w:type="dxa"/>
            <w:vAlign w:val="center"/>
          </w:tcPr>
          <w:p>
            <w:pPr>
              <w:spacing w:line="360" w:lineRule="auto"/>
              <w:jc w:val="center"/>
              <w:rPr>
                <w:rFonts w:ascii="Arial" w:hAnsi="Arial" w:cs="Arial"/>
                <w:bCs/>
                <w:sz w:val="21"/>
                <w:szCs w:val="21"/>
              </w:rPr>
            </w:pPr>
            <w:r>
              <w:rPr>
                <w:rFonts w:ascii="Arial" w:hAnsi="Arial" w:cs="Arial"/>
                <w:bCs/>
                <w:sz w:val="21"/>
                <w:szCs w:val="21"/>
              </w:rPr>
              <w:t>序号</w:t>
            </w:r>
          </w:p>
        </w:tc>
        <w:tc>
          <w:tcPr>
            <w:tcW w:w="1842" w:type="dxa"/>
            <w:vAlign w:val="center"/>
          </w:tcPr>
          <w:p>
            <w:pPr>
              <w:spacing w:line="360" w:lineRule="auto"/>
              <w:jc w:val="center"/>
              <w:rPr>
                <w:rFonts w:ascii="Arial" w:hAnsi="Arial" w:cs="Arial"/>
                <w:bCs/>
                <w:sz w:val="21"/>
                <w:szCs w:val="21"/>
              </w:rPr>
            </w:pPr>
            <w:r>
              <w:rPr>
                <w:rFonts w:ascii="Arial" w:hAnsi="Arial" w:cs="Arial"/>
                <w:bCs/>
                <w:sz w:val="21"/>
                <w:szCs w:val="21"/>
              </w:rPr>
              <w:t>评分因素</w:t>
            </w:r>
          </w:p>
        </w:tc>
        <w:tc>
          <w:tcPr>
            <w:tcW w:w="5614" w:type="dxa"/>
            <w:vAlign w:val="center"/>
          </w:tcPr>
          <w:p>
            <w:pPr>
              <w:spacing w:line="360" w:lineRule="auto"/>
              <w:jc w:val="center"/>
              <w:rPr>
                <w:rFonts w:ascii="Arial" w:hAnsi="Arial" w:cs="Arial"/>
                <w:bCs/>
                <w:sz w:val="21"/>
                <w:szCs w:val="21"/>
              </w:rPr>
            </w:pPr>
            <w:r>
              <w:rPr>
                <w:rFonts w:ascii="Arial" w:hAnsi="Arial" w:cs="Arial"/>
                <w:bCs/>
                <w:sz w:val="21"/>
                <w:szCs w:val="21"/>
              </w:rPr>
              <w:t>评审细则</w:t>
            </w:r>
          </w:p>
        </w:tc>
        <w:tc>
          <w:tcPr>
            <w:tcW w:w="798" w:type="dxa"/>
            <w:vAlign w:val="center"/>
          </w:tcPr>
          <w:p>
            <w:pPr>
              <w:spacing w:line="360" w:lineRule="auto"/>
              <w:jc w:val="center"/>
              <w:rPr>
                <w:rFonts w:ascii="Arial" w:hAnsi="Arial" w:cs="Arial"/>
                <w:bCs/>
                <w:sz w:val="21"/>
                <w:szCs w:val="21"/>
              </w:rPr>
            </w:pPr>
            <w:r>
              <w:rPr>
                <w:rFonts w:ascii="Arial" w:hAnsi="Arial" w:cs="Arial"/>
                <w:bCs/>
                <w:sz w:val="21"/>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w:t>
            </w:r>
          </w:p>
        </w:tc>
        <w:tc>
          <w:tcPr>
            <w:tcW w:w="1842"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价格</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（30分）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本次招标，以进入详细评审的各投标人评标价的最低值为A值，A值为价格分的满分，即30分。其他投标人的价格分统一按照以下公式计算：投标人评标价得分=（A／该投标人评标价）×30（保留小数点后两位）。</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trPr>
        <w:tc>
          <w:tcPr>
            <w:tcW w:w="676"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w:t>
            </w:r>
          </w:p>
        </w:tc>
        <w:tc>
          <w:tcPr>
            <w:tcW w:w="1842"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技术能力</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（33分）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根据各投标产品的先进性、匹配性、可靠性、稳定性以及质量、性能酌情打分，较好4-5分，一般2-3分，其他不得分。</w:t>
            </w:r>
          </w:p>
        </w:tc>
        <w:tc>
          <w:tcPr>
            <w:tcW w:w="798" w:type="dxa"/>
            <w:vAlign w:val="center"/>
          </w:tcPr>
          <w:p>
            <w:pPr>
              <w:spacing w:line="360" w:lineRule="auto"/>
              <w:ind w:firstLine="105" w:firstLineChars="50"/>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2" w:hRule="atLeast"/>
        </w:trPr>
        <w:tc>
          <w:tcPr>
            <w:tcW w:w="676" w:type="dxa"/>
            <w:vMerge w:val="continue"/>
            <w:vAlign w:val="center"/>
          </w:tcPr>
          <w:p>
            <w:pPr>
              <w:spacing w:line="360" w:lineRule="auto"/>
              <w:jc w:val="center"/>
              <w:rPr>
                <w:rFonts w:asciiTheme="minorEastAsia" w:hAnsiTheme="minorEastAsia" w:eastAsiaTheme="minorEastAsia" w:cstheme="minorEastAsia"/>
                <w:bCs/>
                <w:sz w:val="21"/>
                <w:szCs w:val="21"/>
              </w:rPr>
            </w:pPr>
          </w:p>
        </w:tc>
        <w:tc>
          <w:tcPr>
            <w:tcW w:w="1842" w:type="dxa"/>
            <w:vMerge w:val="continue"/>
            <w:vAlign w:val="center"/>
          </w:tcPr>
          <w:p>
            <w:pPr>
              <w:spacing w:line="360" w:lineRule="auto"/>
              <w:rPr>
                <w:rFonts w:asciiTheme="minorEastAsia" w:hAnsiTheme="minorEastAsia" w:eastAsiaTheme="minorEastAsia" w:cstheme="minorEastAsia"/>
                <w:bCs/>
                <w:sz w:val="21"/>
                <w:szCs w:val="21"/>
              </w:rPr>
            </w:pP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投标产品对招标文件具体需求的响应程度：</w:t>
            </w:r>
          </w:p>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1、完全响应招标文件技术指标、参数要求的得24分；每有一项负偏离的减6分；负偏离</w:t>
            </w:r>
            <w:r>
              <w:rPr>
                <w:rFonts w:hint="eastAsia" w:ascii="宋体" w:hAnsi="宋体" w:eastAsia="宋体" w:cs="宋体"/>
                <w:bCs/>
                <w:sz w:val="21"/>
                <w:szCs w:val="21"/>
              </w:rPr>
              <w:t>≥</w:t>
            </w:r>
            <w:r>
              <w:rPr>
                <w:rFonts w:hint="eastAsia" w:asciiTheme="minorEastAsia" w:hAnsiTheme="minorEastAsia" w:eastAsiaTheme="minorEastAsia" w:cstheme="minorEastAsia"/>
                <w:bCs/>
                <w:sz w:val="21"/>
                <w:szCs w:val="21"/>
              </w:rPr>
              <w:t>3项的不得分。</w:t>
            </w:r>
          </w:p>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 xml:space="preserve">2、每有一项优于招标文件，经评委会认可的加1分，最多加4分。 </w:t>
            </w:r>
          </w:p>
        </w:tc>
        <w:tc>
          <w:tcPr>
            <w:tcW w:w="798" w:type="dxa"/>
            <w:vAlign w:val="center"/>
          </w:tcPr>
          <w:p>
            <w:pPr>
              <w:spacing w:line="360" w:lineRule="auto"/>
              <w:ind w:firstLine="105" w:firstLineChars="50"/>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0" w:hRule="atLeast"/>
        </w:trPr>
        <w:tc>
          <w:tcPr>
            <w:tcW w:w="676"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3</w:t>
            </w:r>
          </w:p>
        </w:tc>
        <w:tc>
          <w:tcPr>
            <w:tcW w:w="1842" w:type="dxa"/>
            <w:vMerge w:val="restart"/>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服务</w:t>
            </w:r>
          </w:p>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（25分）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售后服务方案：售后服务体系、售后服务机构及人员、售后服务承诺、售后服务应答及处理时间，质保期内的售后服务范围、质保期满后的售后服务范围和收费情况、备品备件的承诺。</w:t>
            </w:r>
          </w:p>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方案完整、合理可行的得8-10分；方案较完整、较合理可行的得5-7分；方案不完整、不合理不可行的得0-4分</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trPr>
        <w:tc>
          <w:tcPr>
            <w:tcW w:w="676" w:type="dxa"/>
            <w:vMerge w:val="continue"/>
            <w:vAlign w:val="center"/>
          </w:tcPr>
          <w:p>
            <w:pPr>
              <w:spacing w:line="360" w:lineRule="auto"/>
              <w:jc w:val="center"/>
              <w:rPr>
                <w:rFonts w:asciiTheme="minorEastAsia" w:hAnsiTheme="minorEastAsia" w:eastAsiaTheme="minorEastAsia" w:cstheme="minorEastAsia"/>
                <w:bCs/>
                <w:sz w:val="21"/>
                <w:szCs w:val="21"/>
              </w:rPr>
            </w:pPr>
          </w:p>
        </w:tc>
        <w:tc>
          <w:tcPr>
            <w:tcW w:w="1842" w:type="dxa"/>
            <w:vMerge w:val="continue"/>
            <w:vAlign w:val="center"/>
          </w:tcPr>
          <w:p>
            <w:pPr>
              <w:spacing w:line="360" w:lineRule="auto"/>
              <w:rPr>
                <w:rFonts w:asciiTheme="minorEastAsia" w:hAnsiTheme="minorEastAsia" w:eastAsiaTheme="minorEastAsia" w:cstheme="minorEastAsia"/>
                <w:bCs/>
                <w:sz w:val="21"/>
                <w:szCs w:val="21"/>
              </w:rPr>
            </w:pP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培训：对买方操作、维护人员的培训方案及计划。</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4" w:hRule="atLeast"/>
        </w:trPr>
        <w:tc>
          <w:tcPr>
            <w:tcW w:w="676" w:type="dxa"/>
            <w:vMerge w:val="continue"/>
            <w:vAlign w:val="center"/>
          </w:tcPr>
          <w:p>
            <w:pPr>
              <w:spacing w:line="360" w:lineRule="auto"/>
              <w:jc w:val="center"/>
              <w:rPr>
                <w:rFonts w:asciiTheme="minorEastAsia" w:hAnsiTheme="minorEastAsia" w:eastAsiaTheme="minorEastAsia" w:cstheme="minorEastAsia"/>
                <w:bCs/>
                <w:sz w:val="21"/>
                <w:szCs w:val="21"/>
              </w:rPr>
            </w:pPr>
          </w:p>
        </w:tc>
        <w:tc>
          <w:tcPr>
            <w:tcW w:w="1842" w:type="dxa"/>
            <w:vMerge w:val="continue"/>
            <w:vAlign w:val="center"/>
          </w:tcPr>
          <w:p>
            <w:pPr>
              <w:spacing w:line="360" w:lineRule="auto"/>
              <w:rPr>
                <w:rFonts w:asciiTheme="minorEastAsia" w:hAnsiTheme="minorEastAsia" w:eastAsiaTheme="minorEastAsia" w:cstheme="minorEastAsia"/>
                <w:bCs/>
                <w:sz w:val="21"/>
                <w:szCs w:val="21"/>
              </w:rPr>
            </w:pPr>
          </w:p>
        </w:tc>
        <w:tc>
          <w:tcPr>
            <w:tcW w:w="5614" w:type="dxa"/>
            <w:vAlign w:val="center"/>
          </w:tcPr>
          <w:p>
            <w:pPr>
              <w:spacing w:line="360" w:lineRule="auto"/>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针对本项目的组织设计方案：按照服务需求内的要求，综合比较组织、设计方案的完整性、实用性、匹配程度等。</w:t>
            </w:r>
          </w:p>
          <w:p>
            <w:pPr>
              <w:spacing w:line="360" w:lineRule="auto"/>
              <w:rPr>
                <w:rFonts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Cs/>
                <w:sz w:val="21"/>
                <w:szCs w:val="21"/>
              </w:rPr>
              <w:t>方案完整、合理可行的得8-10分；方案较完整、较合理可行的得5-7分；方案不完整、不合理不可行的得0-4分</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0"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4</w:t>
            </w:r>
          </w:p>
        </w:tc>
        <w:tc>
          <w:tcPr>
            <w:tcW w:w="1842" w:type="dxa"/>
            <w:vAlign w:val="center"/>
          </w:tcPr>
          <w:p>
            <w:pPr>
              <w:spacing w:line="360" w:lineRule="auto"/>
              <w:ind w:right="-275" w:rightChars="-125"/>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业绩（5分）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sz w:val="21"/>
                <w:szCs w:val="21"/>
              </w:rPr>
              <w:t>投标人201</w:t>
            </w:r>
            <w:r>
              <w:rPr>
                <w:rFonts w:asciiTheme="minorEastAsia" w:hAnsiTheme="minorEastAsia" w:eastAsiaTheme="minorEastAsia" w:cstheme="minorEastAsia"/>
                <w:sz w:val="21"/>
                <w:szCs w:val="21"/>
              </w:rPr>
              <w:t>8</w:t>
            </w:r>
            <w:r>
              <w:rPr>
                <w:rFonts w:hint="eastAsia" w:asciiTheme="minorEastAsia" w:hAnsiTheme="minorEastAsia" w:eastAsiaTheme="minorEastAsia" w:cstheme="minorEastAsia"/>
                <w:sz w:val="21"/>
                <w:szCs w:val="21"/>
              </w:rPr>
              <w:t>年01月01日以来的类似项目业绩，每提供一个得1分，最高得5分。 （请提供有效的加盖公章的合同复印件）</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7"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c>
          <w:tcPr>
            <w:tcW w:w="1842"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投标人财务与信誉状况（5分）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 xml:space="preserve">对投标人财务、经营状况、企业信誉等级和所获得的荣誉等进行评审。 </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676"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6</w:t>
            </w:r>
          </w:p>
        </w:tc>
        <w:tc>
          <w:tcPr>
            <w:tcW w:w="1842"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对招标文件响应程度（2分）</w:t>
            </w:r>
          </w:p>
        </w:tc>
        <w:tc>
          <w:tcPr>
            <w:tcW w:w="5614" w:type="dxa"/>
            <w:vAlign w:val="center"/>
          </w:tcPr>
          <w:p>
            <w:pPr>
              <w:spacing w:line="360" w:lineRule="auto"/>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根据投标文件对招标文件商务、技术等要求的响应程度评审。</w:t>
            </w:r>
          </w:p>
        </w:tc>
        <w:tc>
          <w:tcPr>
            <w:tcW w:w="798" w:type="dxa"/>
            <w:vAlign w:val="center"/>
          </w:tcPr>
          <w:p>
            <w:pPr>
              <w:spacing w:line="360" w:lineRule="auto"/>
              <w:jc w:val="center"/>
              <w:rPr>
                <w:rFonts w:asciiTheme="minorEastAsia" w:hAnsiTheme="minorEastAsia" w:eastAsiaTheme="minorEastAsia" w:cstheme="minorEastAsia"/>
                <w:bCs/>
                <w:sz w:val="21"/>
                <w:szCs w:val="21"/>
              </w:rPr>
            </w:pPr>
            <w:r>
              <w:rPr>
                <w:rFonts w:hint="eastAsia" w:asciiTheme="minorEastAsia" w:hAnsiTheme="minorEastAsia" w:eastAsiaTheme="minorEastAsia" w:cstheme="minorEastAsia"/>
                <w:bCs/>
                <w:sz w:val="21"/>
                <w:szCs w:val="21"/>
              </w:rPr>
              <w:t>2</w:t>
            </w:r>
          </w:p>
        </w:tc>
      </w:tr>
    </w:tbl>
    <w:p>
      <w:pPr>
        <w:spacing w:line="360" w:lineRule="auto"/>
        <w:rPr>
          <w:rFonts w:asciiTheme="minorEastAsia" w:hAnsiTheme="minorEastAsia" w:eastAsiaTheme="minorEastAsia"/>
          <w:bCs/>
          <w:sz w:val="28"/>
          <w:szCs w:val="28"/>
        </w:rPr>
      </w:pPr>
    </w:p>
    <w:bookmarkEnd w:id="165"/>
    <w:p>
      <w:pPr>
        <w:pStyle w:val="2"/>
        <w:pageBreakBefore/>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955039"/>
      <w:bookmarkEnd w:id="168"/>
      <w:bookmarkStart w:id="169" w:name="_Hlt26671244"/>
      <w:bookmarkEnd w:id="169"/>
      <w:bookmarkStart w:id="170" w:name="_Toc26554094"/>
      <w:bookmarkStart w:id="171" w:name="_Toc120614282"/>
      <w:bookmarkStart w:id="172"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格式3__银行出具的资信证明"/>
      <w:bookmarkEnd w:id="176"/>
      <w:bookmarkStart w:id="177" w:name="_Hlt26955070"/>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17"/>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2481"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7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8"/>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50" w:hRule="atLeast"/>
        </w:trPr>
        <w:tc>
          <w:tcPr>
            <w:tcW w:w="2481" w:type="dxa"/>
            <w:vAlign w:val="center"/>
          </w:tcPr>
          <w:p>
            <w:pPr>
              <w:pStyle w:val="8"/>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1"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2" w:hRule="atLeast"/>
        </w:trPr>
        <w:tc>
          <w:tcPr>
            <w:tcW w:w="2481" w:type="dxa"/>
            <w:vAlign w:val="center"/>
          </w:tcPr>
          <w:p>
            <w:pPr>
              <w:pStyle w:val="8"/>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8"/>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17"/>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17"/>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17"/>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财务报表等</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17"/>
        <w:tblW w:w="8522" w:type="dxa"/>
        <w:jc w:val="center"/>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9"/>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w:t>
      </w:r>
    </w:p>
    <w:p>
      <w:pPr>
        <w:pStyle w:val="9"/>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A</w:t>
      </w:r>
      <w:r>
        <w:rPr>
          <w:rFonts w:hint="eastAsia" w:asciiTheme="minorEastAsia" w:hAnsiTheme="minorEastAsia" w:eastAsiaTheme="minorEastAsia"/>
          <w:sz w:val="24"/>
          <w:szCs w:val="28"/>
        </w:rPr>
        <w:t>【</w:t>
      </w:r>
      <w:r>
        <w:rPr>
          <w:rFonts w:asciiTheme="minorEastAsia" w:hAnsiTheme="minorEastAsia" w:eastAsiaTheme="minorEastAsia"/>
          <w:sz w:val="24"/>
          <w:szCs w:val="28"/>
        </w:rPr>
        <w:t>国产设备</w:t>
      </w:r>
      <w:r>
        <w:rPr>
          <w:rFonts w:hint="eastAsia" w:asciiTheme="minorEastAsia" w:hAnsiTheme="minorEastAsia" w:eastAsiaTheme="minorEastAsia"/>
          <w:sz w:val="24"/>
          <w:szCs w:val="28"/>
        </w:rPr>
        <w:t>及进口设备（非免税）】</w:t>
      </w:r>
      <w:r>
        <w:rPr>
          <w:rFonts w:asciiTheme="minorEastAsia" w:hAnsiTheme="minorEastAsia" w:eastAsiaTheme="minorEastAsia"/>
          <w:sz w:val="24"/>
          <w:szCs w:val="28"/>
        </w:rPr>
        <w:t>：货物交付且安装、调试后，并通过验收后一周内甲方支付合同总金额的100%，付款之前需收到乙方开具的合法有效的相应全额发票。</w:t>
      </w:r>
    </w:p>
    <w:p>
      <w:pPr>
        <w:pStyle w:val="9"/>
        <w:spacing w:before="120" w:after="120" w:line="340" w:lineRule="exact"/>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B</w:t>
      </w:r>
      <w:r>
        <w:rPr>
          <w:rFonts w:hint="eastAsia" w:asciiTheme="minorEastAsia" w:hAnsiTheme="minorEastAsia" w:eastAsiaTheme="minorEastAsia"/>
          <w:sz w:val="24"/>
          <w:szCs w:val="28"/>
        </w:rPr>
        <w:t>【</w:t>
      </w:r>
      <w:r>
        <w:rPr>
          <w:rFonts w:asciiTheme="minorEastAsia" w:hAnsiTheme="minorEastAsia" w:eastAsiaTheme="minorEastAsia"/>
          <w:sz w:val="24"/>
          <w:szCs w:val="28"/>
        </w:rPr>
        <w:t>进口设备</w:t>
      </w:r>
      <w:r>
        <w:rPr>
          <w:rFonts w:hint="eastAsia" w:asciiTheme="minorEastAsia" w:hAnsiTheme="minorEastAsia" w:eastAsiaTheme="minorEastAsia"/>
          <w:sz w:val="24"/>
          <w:szCs w:val="28"/>
        </w:rPr>
        <w:t>-免税】</w:t>
      </w:r>
      <w:r>
        <w:rPr>
          <w:rFonts w:asciiTheme="minorEastAsia" w:hAnsiTheme="minorEastAsia" w:eastAsiaTheme="minorEastAsia"/>
          <w:sz w:val="24"/>
          <w:szCs w:val="28"/>
        </w:rPr>
        <w:t>：根据委托代理进口协议，甲方与                      外贸代理公司进行结算。</w:t>
      </w:r>
    </w:p>
    <w:p>
      <w:pPr>
        <w:pStyle w:val="9"/>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9"/>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9"/>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9"/>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9"/>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9"/>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9"/>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9"/>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9"/>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9"/>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9"/>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12.3本合同正本一式</w:t>
      </w:r>
      <w:r>
        <w:rPr>
          <w:rFonts w:hint="eastAsia" w:asciiTheme="minorEastAsia" w:hAnsiTheme="minorEastAsia" w:eastAsiaTheme="minorEastAsia"/>
          <w:sz w:val="24"/>
          <w:szCs w:val="24"/>
        </w:rPr>
        <w:t>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甲方伍份，乙方壹份，</w:t>
      </w:r>
      <w:r>
        <w:rPr>
          <w:rFonts w:asciiTheme="minorEastAsia" w:hAnsiTheme="minorEastAsia" w:eastAsiaTheme="minorEastAsia"/>
          <w:sz w:val="24"/>
          <w:szCs w:val="24"/>
        </w:rPr>
        <w:t>具有同等法律效力。</w:t>
      </w:r>
    </w:p>
    <w:p>
      <w:pPr>
        <w:pStyle w:val="9"/>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9"/>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9"/>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9"/>
        <w:spacing w:before="120" w:after="120" w:line="300" w:lineRule="auto"/>
        <w:rPr>
          <w:rFonts w:asciiTheme="minorEastAsia" w:hAnsiTheme="minorEastAsia" w:eastAsiaTheme="minorEastAsia"/>
          <w:sz w:val="28"/>
          <w:szCs w:val="28"/>
        </w:rPr>
      </w:pP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80F3C52"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Fonts w:ascii="宋体" w:hAnsi="宋体"/>
      </w:rPr>
    </w:pPr>
    <w:r>
      <w:rPr>
        <w:rFonts w:ascii="宋体" w:hAnsi="宋体"/>
      </w:rPr>
      <w:fldChar w:fldCharType="begin"/>
    </w:r>
    <w:r>
      <w:rPr>
        <w:rStyle w:val="19"/>
        <w:rFonts w:ascii="宋体" w:hAnsi="宋体"/>
      </w:rPr>
      <w:instrText xml:space="preserve">PAGE  </w:instrText>
    </w:r>
    <w:r>
      <w:rPr>
        <w:rFonts w:ascii="宋体" w:hAnsi="宋体"/>
      </w:rPr>
      <w:fldChar w:fldCharType="separate"/>
    </w:r>
    <w:r>
      <w:rPr>
        <w:rStyle w:val="19"/>
        <w:rFonts w:ascii="宋体" w:hAnsi="宋体"/>
      </w:rPr>
      <w:t>22</w:t>
    </w:r>
    <w:r>
      <w:rPr>
        <w:rFonts w:ascii="宋体" w:hAnsi="宋体"/>
      </w:rPr>
      <w:fldChar w:fldCharType="end"/>
    </w:r>
  </w:p>
  <w:p>
    <w:pPr>
      <w:pStyle w:val="11"/>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9"/>
      </w:rPr>
    </w:pPr>
    <w:r>
      <w:fldChar w:fldCharType="begin"/>
    </w:r>
    <w:r>
      <w:rPr>
        <w:rStyle w:val="19"/>
      </w:rPr>
      <w:instrText xml:space="preserve">PAGE  </w:instrText>
    </w:r>
    <w:r>
      <w:fldChar w:fldCharType="separate"/>
    </w:r>
    <w:r>
      <w:rPr>
        <w:rStyle w:val="19"/>
      </w:rPr>
      <w:t>1</w:t>
    </w:r>
    <w:r>
      <w:fldChar w:fldCharType="end"/>
    </w:r>
  </w:p>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CD815"/>
    <w:multiLevelType w:val="singleLevel"/>
    <w:tmpl w:val="193CD815"/>
    <w:lvl w:ilvl="0" w:tentative="0">
      <w:start w:val="3"/>
      <w:numFmt w:val="chineseCounting"/>
      <w:suff w:val="nothing"/>
      <w:lvlText w:val="（%1）"/>
      <w:lvlJc w:val="left"/>
      <w:rPr>
        <w:rFonts w:hint="eastAsia"/>
      </w:rPr>
    </w:lvl>
  </w:abstractNum>
  <w:abstractNum w:abstractNumId="1">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2">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0DD5"/>
    <w:rsid w:val="0008466D"/>
    <w:rsid w:val="00086A59"/>
    <w:rsid w:val="00090C36"/>
    <w:rsid w:val="00092136"/>
    <w:rsid w:val="0009546A"/>
    <w:rsid w:val="000A4EF6"/>
    <w:rsid w:val="000B08EC"/>
    <w:rsid w:val="000B0E83"/>
    <w:rsid w:val="000B538B"/>
    <w:rsid w:val="000C3635"/>
    <w:rsid w:val="000C6FE5"/>
    <w:rsid w:val="000C7C51"/>
    <w:rsid w:val="000D0163"/>
    <w:rsid w:val="000E7086"/>
    <w:rsid w:val="000F4CEA"/>
    <w:rsid w:val="00100D01"/>
    <w:rsid w:val="00101A8A"/>
    <w:rsid w:val="00115EB8"/>
    <w:rsid w:val="0012092A"/>
    <w:rsid w:val="001225B3"/>
    <w:rsid w:val="00124A3C"/>
    <w:rsid w:val="00125C10"/>
    <w:rsid w:val="00141840"/>
    <w:rsid w:val="0016026B"/>
    <w:rsid w:val="00160A9B"/>
    <w:rsid w:val="001647DF"/>
    <w:rsid w:val="00165E37"/>
    <w:rsid w:val="00166953"/>
    <w:rsid w:val="001674B0"/>
    <w:rsid w:val="00167738"/>
    <w:rsid w:val="00170D4A"/>
    <w:rsid w:val="00172DE5"/>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72CB4"/>
    <w:rsid w:val="00295368"/>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B45CF"/>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2912"/>
    <w:rsid w:val="004358AB"/>
    <w:rsid w:val="0043654C"/>
    <w:rsid w:val="004416FF"/>
    <w:rsid w:val="00442EE3"/>
    <w:rsid w:val="00443D5F"/>
    <w:rsid w:val="004459E6"/>
    <w:rsid w:val="0044705E"/>
    <w:rsid w:val="00477C2E"/>
    <w:rsid w:val="004808C6"/>
    <w:rsid w:val="004A4F2D"/>
    <w:rsid w:val="004E0EEC"/>
    <w:rsid w:val="004E3402"/>
    <w:rsid w:val="004F2464"/>
    <w:rsid w:val="004F54A0"/>
    <w:rsid w:val="004F5C9E"/>
    <w:rsid w:val="004F6DEC"/>
    <w:rsid w:val="004F7103"/>
    <w:rsid w:val="005129DB"/>
    <w:rsid w:val="00523B5F"/>
    <w:rsid w:val="005253AD"/>
    <w:rsid w:val="00532F1E"/>
    <w:rsid w:val="00557F99"/>
    <w:rsid w:val="0057236C"/>
    <w:rsid w:val="0057580C"/>
    <w:rsid w:val="00575FC2"/>
    <w:rsid w:val="0058115B"/>
    <w:rsid w:val="00582807"/>
    <w:rsid w:val="00582977"/>
    <w:rsid w:val="005866DD"/>
    <w:rsid w:val="00590D7C"/>
    <w:rsid w:val="0059317B"/>
    <w:rsid w:val="00596F67"/>
    <w:rsid w:val="005A08D6"/>
    <w:rsid w:val="005A2143"/>
    <w:rsid w:val="005B00B9"/>
    <w:rsid w:val="005B44B4"/>
    <w:rsid w:val="005B7D24"/>
    <w:rsid w:val="005C005E"/>
    <w:rsid w:val="005C66D3"/>
    <w:rsid w:val="005D2E1F"/>
    <w:rsid w:val="005F103C"/>
    <w:rsid w:val="0060453F"/>
    <w:rsid w:val="006045FD"/>
    <w:rsid w:val="006073C6"/>
    <w:rsid w:val="006160DD"/>
    <w:rsid w:val="006218B4"/>
    <w:rsid w:val="00640411"/>
    <w:rsid w:val="006411FE"/>
    <w:rsid w:val="006600C0"/>
    <w:rsid w:val="00663D89"/>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78CD"/>
    <w:rsid w:val="00722B49"/>
    <w:rsid w:val="00725153"/>
    <w:rsid w:val="00726D9C"/>
    <w:rsid w:val="007310C7"/>
    <w:rsid w:val="00731E48"/>
    <w:rsid w:val="0074740B"/>
    <w:rsid w:val="00747556"/>
    <w:rsid w:val="007543D9"/>
    <w:rsid w:val="00754FBF"/>
    <w:rsid w:val="00755373"/>
    <w:rsid w:val="00791FC9"/>
    <w:rsid w:val="00792482"/>
    <w:rsid w:val="0079316D"/>
    <w:rsid w:val="007947E9"/>
    <w:rsid w:val="007A58F8"/>
    <w:rsid w:val="007A72DD"/>
    <w:rsid w:val="007B3D32"/>
    <w:rsid w:val="007E0F09"/>
    <w:rsid w:val="007E2F52"/>
    <w:rsid w:val="007E466E"/>
    <w:rsid w:val="007E5C50"/>
    <w:rsid w:val="007E7839"/>
    <w:rsid w:val="007F1718"/>
    <w:rsid w:val="007F18E6"/>
    <w:rsid w:val="007F226B"/>
    <w:rsid w:val="00801146"/>
    <w:rsid w:val="008324FE"/>
    <w:rsid w:val="0083334C"/>
    <w:rsid w:val="00833AE1"/>
    <w:rsid w:val="00834323"/>
    <w:rsid w:val="00841379"/>
    <w:rsid w:val="0085068C"/>
    <w:rsid w:val="00853556"/>
    <w:rsid w:val="008545FA"/>
    <w:rsid w:val="00863149"/>
    <w:rsid w:val="00881E8B"/>
    <w:rsid w:val="00891674"/>
    <w:rsid w:val="008940B1"/>
    <w:rsid w:val="008A7A33"/>
    <w:rsid w:val="008B154E"/>
    <w:rsid w:val="008B39AC"/>
    <w:rsid w:val="008B7726"/>
    <w:rsid w:val="008D182D"/>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17C9"/>
    <w:rsid w:val="00994DC6"/>
    <w:rsid w:val="0099642C"/>
    <w:rsid w:val="009A7A76"/>
    <w:rsid w:val="009B386E"/>
    <w:rsid w:val="009B43A1"/>
    <w:rsid w:val="009B4528"/>
    <w:rsid w:val="009B498C"/>
    <w:rsid w:val="009C30A7"/>
    <w:rsid w:val="009C69CD"/>
    <w:rsid w:val="009D140B"/>
    <w:rsid w:val="009D6181"/>
    <w:rsid w:val="009E1102"/>
    <w:rsid w:val="009E4FC4"/>
    <w:rsid w:val="009E5457"/>
    <w:rsid w:val="009E5541"/>
    <w:rsid w:val="009F148D"/>
    <w:rsid w:val="009F2B90"/>
    <w:rsid w:val="009F453D"/>
    <w:rsid w:val="00A02CA7"/>
    <w:rsid w:val="00A157F0"/>
    <w:rsid w:val="00A20A68"/>
    <w:rsid w:val="00A25E57"/>
    <w:rsid w:val="00A4464F"/>
    <w:rsid w:val="00A46E8D"/>
    <w:rsid w:val="00A478D2"/>
    <w:rsid w:val="00A536D3"/>
    <w:rsid w:val="00A6730D"/>
    <w:rsid w:val="00A67624"/>
    <w:rsid w:val="00A719C8"/>
    <w:rsid w:val="00A754E0"/>
    <w:rsid w:val="00A84971"/>
    <w:rsid w:val="00A92426"/>
    <w:rsid w:val="00A960CD"/>
    <w:rsid w:val="00AA10B3"/>
    <w:rsid w:val="00AA278C"/>
    <w:rsid w:val="00AB3CFF"/>
    <w:rsid w:val="00AC2325"/>
    <w:rsid w:val="00AC3CE4"/>
    <w:rsid w:val="00AD713B"/>
    <w:rsid w:val="00AE5082"/>
    <w:rsid w:val="00AE6332"/>
    <w:rsid w:val="00AF0E8F"/>
    <w:rsid w:val="00AF3ACC"/>
    <w:rsid w:val="00AF539E"/>
    <w:rsid w:val="00B06748"/>
    <w:rsid w:val="00B10D4E"/>
    <w:rsid w:val="00B14B96"/>
    <w:rsid w:val="00B2764C"/>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2AED"/>
    <w:rsid w:val="00BD422E"/>
    <w:rsid w:val="00BD6A49"/>
    <w:rsid w:val="00BD6FBD"/>
    <w:rsid w:val="00BD77ED"/>
    <w:rsid w:val="00BE34F9"/>
    <w:rsid w:val="00BE7284"/>
    <w:rsid w:val="00BF363B"/>
    <w:rsid w:val="00BF3F02"/>
    <w:rsid w:val="00BF3F2A"/>
    <w:rsid w:val="00BF688E"/>
    <w:rsid w:val="00BF6B18"/>
    <w:rsid w:val="00C00BC7"/>
    <w:rsid w:val="00C12969"/>
    <w:rsid w:val="00C13584"/>
    <w:rsid w:val="00C1690A"/>
    <w:rsid w:val="00C30C20"/>
    <w:rsid w:val="00C40E65"/>
    <w:rsid w:val="00C41249"/>
    <w:rsid w:val="00C541CB"/>
    <w:rsid w:val="00C55166"/>
    <w:rsid w:val="00C714F0"/>
    <w:rsid w:val="00C76558"/>
    <w:rsid w:val="00C86FD4"/>
    <w:rsid w:val="00C96312"/>
    <w:rsid w:val="00C96654"/>
    <w:rsid w:val="00CB2130"/>
    <w:rsid w:val="00CB3C11"/>
    <w:rsid w:val="00CD4D83"/>
    <w:rsid w:val="00CE18E8"/>
    <w:rsid w:val="00D1587C"/>
    <w:rsid w:val="00D243BD"/>
    <w:rsid w:val="00D278D7"/>
    <w:rsid w:val="00D31D50"/>
    <w:rsid w:val="00D323F9"/>
    <w:rsid w:val="00D4211D"/>
    <w:rsid w:val="00D5054E"/>
    <w:rsid w:val="00D53633"/>
    <w:rsid w:val="00D56CB6"/>
    <w:rsid w:val="00D61AE7"/>
    <w:rsid w:val="00D634CC"/>
    <w:rsid w:val="00D74247"/>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761F"/>
    <w:rsid w:val="00F94053"/>
    <w:rsid w:val="00F94356"/>
    <w:rsid w:val="00F952C7"/>
    <w:rsid w:val="00F96BF5"/>
    <w:rsid w:val="00FA1FA5"/>
    <w:rsid w:val="00FA4F5F"/>
    <w:rsid w:val="00FA7B45"/>
    <w:rsid w:val="00FB608D"/>
    <w:rsid w:val="00FC0456"/>
    <w:rsid w:val="00FC3104"/>
    <w:rsid w:val="00FF44F0"/>
    <w:rsid w:val="00FF7A26"/>
    <w:rsid w:val="019C1D8D"/>
    <w:rsid w:val="03201F05"/>
    <w:rsid w:val="04865A99"/>
    <w:rsid w:val="084208BC"/>
    <w:rsid w:val="08944A88"/>
    <w:rsid w:val="0B88092A"/>
    <w:rsid w:val="0D7C3718"/>
    <w:rsid w:val="110A6022"/>
    <w:rsid w:val="13E43262"/>
    <w:rsid w:val="15B15E52"/>
    <w:rsid w:val="197068E3"/>
    <w:rsid w:val="1B402530"/>
    <w:rsid w:val="20732560"/>
    <w:rsid w:val="20D92195"/>
    <w:rsid w:val="224B6541"/>
    <w:rsid w:val="23711F72"/>
    <w:rsid w:val="252F137F"/>
    <w:rsid w:val="27EE5451"/>
    <w:rsid w:val="28BE1C3F"/>
    <w:rsid w:val="2CC106DA"/>
    <w:rsid w:val="2E8A467F"/>
    <w:rsid w:val="2EAE3779"/>
    <w:rsid w:val="39512D75"/>
    <w:rsid w:val="3A0B44F2"/>
    <w:rsid w:val="3BF63455"/>
    <w:rsid w:val="3C565EFF"/>
    <w:rsid w:val="426273D4"/>
    <w:rsid w:val="42785FD6"/>
    <w:rsid w:val="460863E2"/>
    <w:rsid w:val="4A3A655D"/>
    <w:rsid w:val="5174272C"/>
    <w:rsid w:val="526F2221"/>
    <w:rsid w:val="5CA90783"/>
    <w:rsid w:val="5F703EC9"/>
    <w:rsid w:val="61A6041B"/>
    <w:rsid w:val="61D02CF7"/>
    <w:rsid w:val="62CD3F75"/>
    <w:rsid w:val="641C6928"/>
    <w:rsid w:val="65572629"/>
    <w:rsid w:val="67941505"/>
    <w:rsid w:val="67B062B6"/>
    <w:rsid w:val="697841E6"/>
    <w:rsid w:val="70A429D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text"/>
    <w:basedOn w:val="1"/>
    <w:link w:val="45"/>
    <w:semiHidden/>
    <w:unhideWhenUsed/>
    <w:qFormat/>
    <w:uiPriority w:val="99"/>
  </w:style>
  <w:style w:type="paragraph" w:styleId="8">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9">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0">
    <w:name w:val="Balloon Text"/>
    <w:basedOn w:val="1"/>
    <w:link w:val="44"/>
    <w:semiHidden/>
    <w:unhideWhenUsed/>
    <w:qFormat/>
    <w:uiPriority w:val="99"/>
    <w:pPr>
      <w:spacing w:after="0"/>
    </w:pPr>
    <w:rPr>
      <w:sz w:val="18"/>
      <w:szCs w:val="18"/>
    </w:rPr>
  </w:style>
  <w:style w:type="paragraph" w:styleId="11">
    <w:name w:val="footer"/>
    <w:basedOn w:val="1"/>
    <w:link w:val="23"/>
    <w:unhideWhenUsed/>
    <w:qFormat/>
    <w:uiPriority w:val="99"/>
    <w:pPr>
      <w:tabs>
        <w:tab w:val="center" w:pos="4153"/>
        <w:tab w:val="right" w:pos="8306"/>
      </w:tabs>
    </w:pPr>
    <w:rPr>
      <w:sz w:val="18"/>
      <w:szCs w:val="18"/>
    </w:rPr>
  </w:style>
  <w:style w:type="paragraph" w:styleId="12">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3">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4">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5">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paragraph" w:styleId="16">
    <w:name w:val="annotation subject"/>
    <w:basedOn w:val="7"/>
    <w:next w:val="7"/>
    <w:link w:val="46"/>
    <w:semiHidden/>
    <w:unhideWhenUsed/>
    <w:qFormat/>
    <w:uiPriority w:val="99"/>
    <w:rPr>
      <w:b/>
      <w:bCs/>
    </w:rPr>
  </w:style>
  <w:style w:type="character" w:styleId="19">
    <w:name w:val="page number"/>
    <w:basedOn w:val="18"/>
    <w:qFormat/>
    <w:uiPriority w:val="0"/>
  </w:style>
  <w:style w:type="character" w:styleId="20">
    <w:name w:val="Hyperlink"/>
    <w:qFormat/>
    <w:uiPriority w:val="99"/>
    <w:rPr>
      <w:color w:val="0000FF"/>
      <w:u w:val="single"/>
    </w:rPr>
  </w:style>
  <w:style w:type="character" w:styleId="21">
    <w:name w:val="annotation reference"/>
    <w:basedOn w:val="18"/>
    <w:semiHidden/>
    <w:unhideWhenUsed/>
    <w:qFormat/>
    <w:uiPriority w:val="99"/>
    <w:rPr>
      <w:sz w:val="21"/>
      <w:szCs w:val="21"/>
    </w:rPr>
  </w:style>
  <w:style w:type="character" w:customStyle="1" w:styleId="22">
    <w:name w:val="页眉 Char"/>
    <w:basedOn w:val="18"/>
    <w:link w:val="12"/>
    <w:qFormat/>
    <w:uiPriority w:val="99"/>
    <w:rPr>
      <w:rFonts w:ascii="Tahoma" w:hAnsi="Tahoma"/>
      <w:sz w:val="18"/>
      <w:szCs w:val="18"/>
    </w:rPr>
  </w:style>
  <w:style w:type="character" w:customStyle="1" w:styleId="23">
    <w:name w:val="页脚 Char"/>
    <w:basedOn w:val="18"/>
    <w:link w:val="11"/>
    <w:qFormat/>
    <w:uiPriority w:val="99"/>
    <w:rPr>
      <w:rFonts w:ascii="Tahoma" w:hAnsi="Tahoma"/>
      <w:sz w:val="18"/>
      <w:szCs w:val="18"/>
    </w:rPr>
  </w:style>
  <w:style w:type="character" w:customStyle="1" w:styleId="24">
    <w:name w:val="标题 1 Char"/>
    <w:basedOn w:val="18"/>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8"/>
    <w:link w:val="4"/>
    <w:qFormat/>
    <w:uiPriority w:val="0"/>
    <w:rPr>
      <w:rFonts w:ascii="Times New Roman" w:hAnsi="Times New Roman" w:eastAsia="宋体" w:cs="Times New Roman"/>
      <w:b/>
      <w:bCs/>
      <w:kern w:val="2"/>
      <w:sz w:val="32"/>
      <w:szCs w:val="32"/>
    </w:rPr>
  </w:style>
  <w:style w:type="character" w:customStyle="1" w:styleId="28">
    <w:name w:val="标题 4 Char"/>
    <w:basedOn w:val="18"/>
    <w:link w:val="6"/>
    <w:qFormat/>
    <w:uiPriority w:val="9"/>
    <w:rPr>
      <w:rFonts w:ascii="Arial" w:hAnsi="Arial" w:eastAsia="黑体" w:cs="Arial"/>
      <w:b/>
      <w:bCs/>
      <w:kern w:val="2"/>
      <w:sz w:val="28"/>
      <w:szCs w:val="28"/>
    </w:rPr>
  </w:style>
  <w:style w:type="character" w:customStyle="1" w:styleId="29">
    <w:name w:val="标题 Char1"/>
    <w:basedOn w:val="18"/>
    <w:link w:val="15"/>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8"/>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9"/>
    <w:qFormat/>
    <w:uiPriority w:val="0"/>
    <w:rPr>
      <w:rFonts w:ascii="宋体" w:hAnsi="Courier New" w:cs="Courier New"/>
      <w:kern w:val="2"/>
      <w:sz w:val="21"/>
      <w:szCs w:val="21"/>
    </w:rPr>
  </w:style>
  <w:style w:type="character" w:customStyle="1" w:styleId="37">
    <w:name w:val="纯文本 Char1"/>
    <w:basedOn w:val="18"/>
    <w:semiHidden/>
    <w:qFormat/>
    <w:uiPriority w:val="99"/>
    <w:rPr>
      <w:rFonts w:ascii="宋体" w:hAnsi="Courier New" w:eastAsia="宋体" w:cs="Courier New"/>
      <w:sz w:val="21"/>
      <w:szCs w:val="21"/>
    </w:rPr>
  </w:style>
  <w:style w:type="character" w:customStyle="1" w:styleId="38">
    <w:name w:val="标题 2 Char"/>
    <w:basedOn w:val="18"/>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8"/>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8"/>
    <w:semiHidden/>
    <w:qFormat/>
    <w:uiPriority w:val="99"/>
    <w:rPr>
      <w:rFonts w:ascii="Tahoma" w:hAnsi="Tahoma"/>
    </w:rPr>
  </w:style>
  <w:style w:type="character" w:customStyle="1" w:styleId="44">
    <w:name w:val="批注框文本 Char"/>
    <w:basedOn w:val="18"/>
    <w:link w:val="10"/>
    <w:semiHidden/>
    <w:qFormat/>
    <w:uiPriority w:val="99"/>
    <w:rPr>
      <w:rFonts w:ascii="Tahoma" w:hAnsi="Tahoma"/>
      <w:sz w:val="18"/>
      <w:szCs w:val="18"/>
    </w:rPr>
  </w:style>
  <w:style w:type="character" w:customStyle="1" w:styleId="45">
    <w:name w:val="批注文字 Char"/>
    <w:basedOn w:val="18"/>
    <w:link w:val="7"/>
    <w:semiHidden/>
    <w:qFormat/>
    <w:uiPriority w:val="99"/>
    <w:rPr>
      <w:rFonts w:ascii="Tahoma" w:hAnsi="Tahoma"/>
    </w:rPr>
  </w:style>
  <w:style w:type="character" w:customStyle="1" w:styleId="46">
    <w:name w:val="批注主题 Char"/>
    <w:basedOn w:val="45"/>
    <w:link w:val="16"/>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91662DE-AEA8-489B-AFD3-062D98D6402E}">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36</Pages>
  <Words>2293</Words>
  <Characters>13074</Characters>
  <Lines>108</Lines>
  <Paragraphs>30</Paragraphs>
  <TotalTime>0</TotalTime>
  <ScaleCrop>false</ScaleCrop>
  <LinksUpToDate>false</LinksUpToDate>
  <CharactersWithSpaces>15337</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2019-11-11T08:15:00Z</dcterms:created>
  <dc:creator>chenle</dc:creator>
  <cp:lastModifiedBy>lenovo</cp:lastModifiedBy>
  <dcterms:modified xsi:type="dcterms:W3CDTF">2019-11-18T04:43:19Z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