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rPr>
      </w:pPr>
      <w:r>
        <w:rPr>
          <w:rFonts w:hint="eastAsia"/>
          <w:b/>
          <w:bCs/>
          <w:sz w:val="32"/>
        </w:rPr>
        <w:t>项目名称：</w:t>
      </w:r>
      <w:r>
        <w:rPr>
          <w:rFonts w:hint="eastAsia"/>
          <w:b/>
          <w:sz w:val="32"/>
          <w:szCs w:val="32"/>
        </w:rPr>
        <w:t>自动进样器</w:t>
      </w:r>
      <w:r>
        <w:rPr>
          <w:rFonts w:hint="eastAsia" w:ascii="宋体" w:hAnsi="宋体" w:cs="宋体"/>
          <w:b/>
          <w:kern w:val="1"/>
          <w:sz w:val="32"/>
          <w:szCs w:val="32"/>
        </w:rPr>
        <w:t>购置</w:t>
      </w:r>
      <w:r>
        <w:rPr>
          <w:rFonts w:hint="eastAsia"/>
          <w:b/>
          <w:bCs/>
          <w:sz w:val="32"/>
          <w:szCs w:val="32"/>
        </w:rPr>
        <w:t>项目</w:t>
      </w:r>
    </w:p>
    <w:p>
      <w:pPr>
        <w:pStyle w:val="26"/>
        <w:ind w:firstLine="0"/>
        <w:jc w:val="center"/>
        <w:rPr>
          <w:rFonts w:hint="eastAsia" w:eastAsia="宋体"/>
          <w:b/>
          <w:bCs/>
          <w:sz w:val="32"/>
          <w:lang w:eastAsia="zh-CN"/>
        </w:rPr>
      </w:pPr>
      <w:r>
        <w:rPr>
          <w:rFonts w:hint="eastAsia"/>
          <w:b/>
          <w:bCs/>
          <w:sz w:val="32"/>
        </w:rPr>
        <w:t>项目编号：</w:t>
      </w:r>
      <w:r>
        <w:rPr>
          <w:rFonts w:hint="eastAsia"/>
          <w:b/>
          <w:bCs/>
          <w:sz w:val="32"/>
          <w:highlight w:val="none"/>
        </w:rPr>
        <w:t>njmu-2018</w:t>
      </w:r>
      <w:r>
        <w:rPr>
          <w:rFonts w:hint="eastAsia"/>
          <w:b/>
          <w:bCs/>
          <w:sz w:val="32"/>
          <w:highlight w:val="none"/>
          <w:lang w:val="en-US" w:eastAsia="zh-CN"/>
        </w:rPr>
        <w:t>1129a</w:t>
      </w:r>
      <w:r>
        <w:rPr>
          <w:rFonts w:hint="eastAsia"/>
          <w:b/>
          <w:bCs/>
          <w:sz w:val="32"/>
          <w:highlight w:val="none"/>
        </w:rPr>
        <w:t>-</w:t>
      </w:r>
      <w:r>
        <w:rPr>
          <w:rFonts w:hint="eastAsia"/>
          <w:b/>
          <w:bCs/>
          <w:sz w:val="32"/>
          <w:highlight w:val="none"/>
          <w:lang w:val="en-US" w:eastAsia="zh-CN"/>
        </w:rPr>
        <w:t>1</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479757206"/>
      <w:bookmarkStart w:id="4" w:name="_Toc513029200"/>
      <w:bookmarkStart w:id="5" w:name="_Toc20823272"/>
      <w:bookmarkStart w:id="6" w:name="_Toc523127445"/>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pPr>
      <w:r>
        <w:rPr>
          <w:rFonts w:asciiTheme="minorEastAsia" w:hAnsiTheme="minorEastAsia" w:eastAsiaTheme="minorEastAsia"/>
          <w:b/>
          <w:sz w:val="40"/>
          <w:szCs w:val="28"/>
        </w:rPr>
        <w:fldChar w:fldCharType="end"/>
      </w:r>
      <w:r>
        <w:rPr>
          <w:rFonts w:hint="eastAsia"/>
          <w:sz w:val="24"/>
          <w:szCs w:val="24"/>
        </w:rPr>
        <w:t>第六章拟签订的合同文本</w:t>
      </w:r>
      <w:r>
        <w:tab/>
      </w:r>
      <w:r>
        <w:rPr>
          <w:rFonts w:hint="eastAsia"/>
          <w:sz w:val="24"/>
        </w:rPr>
        <w:t>31</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500" w:lineRule="exact"/>
        <w:ind w:firstLine="560" w:firstLineChars="200"/>
        <w:rPr>
          <w:rFonts w:asciiTheme="minorEastAsia" w:hAnsiTheme="minorEastAsia" w:eastAsiaTheme="minorEastAsia"/>
          <w:sz w:val="28"/>
          <w:szCs w:val="28"/>
        </w:rPr>
      </w:pPr>
      <w:bookmarkStart w:id="8" w:name="_Toc444669970"/>
      <w:bookmarkStart w:id="9" w:name="_Toc20823314"/>
      <w:bookmarkStart w:id="10" w:name="_Toc16938558"/>
      <w:bookmarkStart w:id="11" w:name="OLE_LINK1"/>
      <w:bookmarkStart w:id="12" w:name="_Toc120614211"/>
      <w:bookmarkStart w:id="13" w:name="_Toc120614221"/>
      <w:bookmarkStart w:id="14" w:name="_Toc513029242"/>
      <w:bookmarkStart w:id="15" w:name="_Toc479757207"/>
      <w:bookmarkStart w:id="16" w:name="OLE_LINK2"/>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自动进样器</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（一）采购项目名称：自动进样器购置项目</w:t>
      </w:r>
    </w:p>
    <w:p>
      <w:pPr>
        <w:spacing w:beforeLines="50" w:afterLines="50" w:line="500" w:lineRule="exact"/>
        <w:ind w:firstLine="560" w:firstLineChars="200"/>
        <w:rPr>
          <w:rFonts w:hint="eastAsia" w:asciiTheme="minorEastAsia" w:hAnsiTheme="minorEastAsia" w:eastAsiaTheme="minorEastAsia"/>
          <w:sz w:val="28"/>
          <w:szCs w:val="28"/>
          <w:highlight w:val="yellow"/>
          <w:lang w:eastAsia="zh-CN"/>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rPr>
        <w:t>njmu-2018</w:t>
      </w:r>
      <w:r>
        <w:rPr>
          <w:rFonts w:hint="eastAsia" w:asciiTheme="minorEastAsia" w:hAnsiTheme="minorEastAsia" w:eastAsiaTheme="minorEastAsia"/>
          <w:sz w:val="28"/>
          <w:szCs w:val="28"/>
          <w:highlight w:val="none"/>
          <w:lang w:val="en-US" w:eastAsia="zh-CN"/>
        </w:rPr>
        <w:t>1129a</w:t>
      </w:r>
      <w:r>
        <w:rPr>
          <w:rFonts w:hint="eastAsia" w:asciiTheme="minorEastAsia" w:hAnsiTheme="minorEastAsia" w:eastAsiaTheme="minorEastAsia"/>
          <w:sz w:val="28"/>
          <w:szCs w:val="28"/>
          <w:highlight w:val="none"/>
        </w:rPr>
        <w:t>-</w:t>
      </w:r>
      <w:r>
        <w:rPr>
          <w:rFonts w:hint="eastAsia" w:asciiTheme="minorEastAsia" w:hAnsiTheme="minorEastAsia" w:eastAsiaTheme="minorEastAsia"/>
          <w:sz w:val="28"/>
          <w:szCs w:val="28"/>
          <w:highlight w:val="none"/>
          <w:lang w:val="en-US" w:eastAsia="zh-CN"/>
        </w:rPr>
        <w:t>1</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xml:space="preserve">: 13.8万元                                               </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500" w:lineRule="exact"/>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500" w:lineRule="exact"/>
        <w:ind w:firstLine="560" w:firstLineChars="200"/>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lang w:eastAsia="zh-CN"/>
        </w:rPr>
        <w:t>（三）</w:t>
      </w:r>
      <w:r>
        <w:rPr>
          <w:rFonts w:hint="eastAsia" w:asciiTheme="minorEastAsia" w:hAnsiTheme="minorEastAsia" w:eastAsiaTheme="minorEastAsia"/>
          <w:b/>
          <w:bCs/>
          <w:color w:val="FF0000"/>
          <w:sz w:val="28"/>
          <w:szCs w:val="28"/>
          <w:lang w:eastAsia="zh-CN"/>
        </w:rPr>
        <w:t>该项目若投标方所投产品为进口设备，请提供不免税的人民币报价，免税报价不予接受，后果由投标人承担。</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法人或授权代表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（二）其他资格要求：</w:t>
      </w:r>
    </w:p>
    <w:p>
      <w:pPr>
        <w:spacing w:beforeLines="50" w:afterLines="50" w:line="500" w:lineRule="exact"/>
        <w:ind w:firstLine="560" w:firstLineChars="200"/>
        <w:rPr>
          <w:rFonts w:hint="eastAsia" w:asciiTheme="minorEastAsia" w:hAnsiTheme="minorEastAsia" w:eastAsiaTheme="minorEastAsia"/>
          <w:color w:val="000000"/>
          <w:sz w:val="28"/>
          <w:szCs w:val="28"/>
        </w:rPr>
      </w:pPr>
      <w:r>
        <w:rPr>
          <w:rFonts w:hint="eastAsia" w:asciiTheme="minorEastAsia" w:hAnsiTheme="minorEastAsia" w:eastAsiaTheme="minorEastAsia"/>
          <w:sz w:val="28"/>
          <w:szCs w:val="28"/>
        </w:rPr>
        <w:t xml:space="preserve"> 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w:t>
      </w:r>
      <w:r>
        <w:rPr>
          <w:rFonts w:hint="eastAsia" w:asciiTheme="minorEastAsia" w:hAnsiTheme="minorEastAsia" w:eastAsiaTheme="minorEastAsia"/>
          <w:sz w:val="24"/>
          <w:szCs w:val="24"/>
          <w:highlight w:val="none"/>
        </w:rPr>
        <w:t>2018年</w:t>
      </w:r>
      <w:r>
        <w:rPr>
          <w:rFonts w:hint="eastAsia" w:asciiTheme="minorEastAsia" w:hAnsiTheme="minorEastAsia" w:eastAsiaTheme="minorEastAsia"/>
          <w:sz w:val="24"/>
          <w:szCs w:val="24"/>
          <w:highlight w:val="none"/>
          <w:lang w:val="en-US" w:eastAsia="zh-CN"/>
        </w:rPr>
        <w:t>11</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29</w:t>
      </w:r>
      <w:r>
        <w:rPr>
          <w:rFonts w:hint="eastAsia" w:asciiTheme="minorEastAsia" w:hAnsiTheme="minorEastAsia" w:eastAsiaTheme="minorEastAsia"/>
          <w:sz w:val="24"/>
          <w:szCs w:val="24"/>
          <w:highlight w:val="none"/>
        </w:rPr>
        <w:t>日上午8:30</w:t>
      </w:r>
      <w:r>
        <w:rPr>
          <w:rFonts w:hint="eastAsia" w:asciiTheme="minorEastAsia" w:hAnsiTheme="minorEastAsia" w:eastAsiaTheme="minorEastAsia"/>
          <w:sz w:val="24"/>
          <w:szCs w:val="24"/>
        </w:rPr>
        <w:t>（北京时间）</w:t>
      </w:r>
    </w:p>
    <w:p>
      <w:pPr>
        <w:spacing w:line="500" w:lineRule="exact"/>
        <w:ind w:firstLine="1080" w:firstLineChars="4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w:t>
      </w:r>
      <w:r>
        <w:rPr>
          <w:rFonts w:hint="eastAsia" w:asciiTheme="minorEastAsia" w:hAnsiTheme="minorEastAsia" w:eastAsiaTheme="minorEastAsia"/>
          <w:sz w:val="24"/>
          <w:szCs w:val="24"/>
          <w:highlight w:val="none"/>
        </w:rPr>
        <w:t>2018年</w:t>
      </w:r>
      <w:r>
        <w:rPr>
          <w:rFonts w:hint="eastAsia" w:asciiTheme="minorEastAsia" w:hAnsiTheme="minorEastAsia" w:eastAsiaTheme="minorEastAsia"/>
          <w:sz w:val="24"/>
          <w:szCs w:val="24"/>
          <w:highlight w:val="none"/>
          <w:lang w:val="en-US" w:eastAsia="zh-CN"/>
        </w:rPr>
        <w:t>11</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29</w:t>
      </w:r>
      <w:r>
        <w:rPr>
          <w:rFonts w:hint="eastAsia" w:asciiTheme="minorEastAsia" w:hAnsiTheme="minorEastAsia" w:eastAsiaTheme="minorEastAsia"/>
          <w:sz w:val="24"/>
          <w:szCs w:val="24"/>
          <w:highlight w:val="none"/>
        </w:rPr>
        <w:t>日上午9:</w:t>
      </w:r>
      <w:r>
        <w:rPr>
          <w:rFonts w:hint="eastAsia" w:asciiTheme="minorEastAsia" w:hAnsiTheme="minorEastAsia" w:eastAsiaTheme="minorEastAsia"/>
          <w:sz w:val="24"/>
          <w:szCs w:val="24"/>
          <w:highlight w:val="none"/>
          <w:lang w:val="en-US" w:eastAsia="zh-CN"/>
        </w:rPr>
        <w:t>15</w:t>
      </w:r>
      <w:r>
        <w:rPr>
          <w:rFonts w:hint="eastAsia" w:asciiTheme="minorEastAsia" w:hAnsiTheme="minorEastAsia" w:eastAsiaTheme="minorEastAsia"/>
          <w:sz w:val="24"/>
          <w:szCs w:val="24"/>
          <w:highlight w:val="none"/>
        </w:rPr>
        <w:t>前</w:t>
      </w:r>
      <w:r>
        <w:rPr>
          <w:rFonts w:hint="eastAsia" w:asciiTheme="minorEastAsia" w:hAnsiTheme="minorEastAsia" w:eastAsiaTheme="minorEastAsia"/>
          <w:sz w:val="24"/>
          <w:szCs w:val="24"/>
        </w:rPr>
        <w:t>（北京时间）</w:t>
      </w:r>
    </w:p>
    <w:p>
      <w:pPr>
        <w:spacing w:line="5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w:t>
      </w:r>
      <w:r>
        <w:rPr>
          <w:rFonts w:hint="eastAsia" w:asciiTheme="minorEastAsia" w:hAnsiTheme="minorEastAsia" w:eastAsiaTheme="minorEastAsia"/>
          <w:sz w:val="24"/>
          <w:szCs w:val="24"/>
          <w:highlight w:val="none"/>
        </w:rPr>
        <w:t>2018年</w:t>
      </w:r>
      <w:r>
        <w:rPr>
          <w:rFonts w:hint="eastAsia" w:asciiTheme="minorEastAsia" w:hAnsiTheme="minorEastAsia" w:eastAsiaTheme="minorEastAsia"/>
          <w:sz w:val="24"/>
          <w:szCs w:val="24"/>
          <w:highlight w:val="none"/>
          <w:lang w:val="en-US" w:eastAsia="zh-CN"/>
        </w:rPr>
        <w:t>11</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29</w:t>
      </w:r>
      <w:r>
        <w:rPr>
          <w:rFonts w:hint="eastAsia" w:asciiTheme="minorEastAsia" w:hAnsiTheme="minorEastAsia" w:eastAsiaTheme="minorEastAsia"/>
          <w:sz w:val="24"/>
          <w:szCs w:val="24"/>
          <w:highlight w:val="none"/>
        </w:rPr>
        <w:t>日上午9:</w:t>
      </w:r>
      <w:r>
        <w:rPr>
          <w:rFonts w:hint="eastAsia" w:asciiTheme="minorEastAsia" w:hAnsiTheme="minorEastAsia" w:eastAsiaTheme="minorEastAsia"/>
          <w:sz w:val="24"/>
          <w:szCs w:val="24"/>
          <w:highlight w:val="none"/>
          <w:lang w:val="en-US" w:eastAsia="zh-CN"/>
        </w:rPr>
        <w:t>15</w:t>
      </w:r>
      <w:r>
        <w:rPr>
          <w:rFonts w:hint="eastAsia" w:asciiTheme="minorEastAsia" w:hAnsiTheme="minorEastAsia" w:eastAsiaTheme="minorEastAsia"/>
          <w:sz w:val="24"/>
          <w:szCs w:val="24"/>
        </w:rPr>
        <w:t>（北京时间）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    陈老师           电话：025-86868572 </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项目需求方联系人：郭</w:t>
      </w:r>
      <w:r>
        <w:rPr>
          <w:rFonts w:hint="eastAsia" w:ascii="宋体" w:hAnsi="宋体" w:eastAsia="宋体" w:cs="Times New Roman"/>
          <w:sz w:val="24"/>
          <w:szCs w:val="24"/>
        </w:rPr>
        <w:t>老师</w:t>
      </w:r>
      <w:r>
        <w:rPr>
          <w:rFonts w:hint="eastAsia" w:asciiTheme="minorEastAsia" w:hAnsiTheme="minorEastAsia" w:eastAsiaTheme="minorEastAsia"/>
          <w:sz w:val="24"/>
          <w:szCs w:val="24"/>
        </w:rPr>
        <w:t xml:space="preserve">           电话：025-86868433</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 xml:space="preserve">地址：南京医科大学江宁校区明达楼108室（南京市江宁区龙眠大道101号） </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6938518"/>
      <w:bookmarkStart w:id="19" w:name="_Toc120614213"/>
      <w:bookmarkStart w:id="20" w:name="_Toc513029202"/>
      <w:bookmarkStart w:id="21" w:name="_Toc20823274"/>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16938519"/>
      <w:bookmarkStart w:id="23" w:name="_Toc513029203"/>
      <w:bookmarkStart w:id="24" w:name="_Toc120614214"/>
      <w:bookmarkStart w:id="25" w:name="_Toc20823275"/>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20823276"/>
      <w:bookmarkStart w:id="29" w:name="_Toc16938520"/>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513029205"/>
      <w:bookmarkStart w:id="32" w:name="_Toc16938521"/>
      <w:bookmarkStart w:id="33" w:name="_Toc20823277"/>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16938522"/>
      <w:bookmarkStart w:id="35" w:name="_Toc20823278"/>
      <w:bookmarkStart w:id="36" w:name="_Toc513029206"/>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20823279"/>
      <w:bookmarkStart w:id="38" w:name="_Toc462564067"/>
      <w:bookmarkStart w:id="39" w:name="_Toc513029207"/>
      <w:bookmarkStart w:id="40" w:name="_Toc16938523"/>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513029209"/>
      <w:bookmarkStart w:id="42" w:name="_Toc16938525"/>
      <w:bookmarkStart w:id="43" w:name="_Toc20823281"/>
      <w:bookmarkStart w:id="44" w:name="_Toc120614215"/>
      <w:bookmarkStart w:id="45" w:name="_Toc517190883"/>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513029210"/>
      <w:bookmarkStart w:id="47" w:name="_Toc16938526"/>
      <w:bookmarkStart w:id="48" w:name="_Toc20823282"/>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 xml:space="preserve"> 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 xml:space="preserve">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513029211"/>
      <w:bookmarkStart w:id="50" w:name="_Toc20823283"/>
      <w:bookmarkStart w:id="51" w:name="_Toc462564070"/>
      <w:bookmarkStart w:id="52" w:name="_Toc16938527"/>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513029212"/>
      <w:bookmarkStart w:id="54" w:name="_Toc462564071"/>
      <w:bookmarkStart w:id="55" w:name="_Toc20823284"/>
      <w:bookmarkStart w:id="56" w:name="_Toc16938528"/>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 xml:space="preserve"> 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513029213"/>
      <w:bookmarkStart w:id="58" w:name="_Toc16938529"/>
      <w:bookmarkStart w:id="59" w:name="_Toc20823285"/>
      <w:bookmarkStart w:id="60" w:name="_Toc120614216"/>
      <w:bookmarkStart w:id="61" w:name="_Toc462564072"/>
      <w:bookmarkStart w:id="62" w:name="_Toc517190884"/>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462564073"/>
      <w:bookmarkStart w:id="64" w:name="_Toc513029214"/>
      <w:bookmarkStart w:id="65" w:name="_Toc16938530"/>
      <w:bookmarkStart w:id="66" w:name="_Toc20823286"/>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 xml:space="preserve"> 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 xml:space="preserve"> 除技术性能另有规定外，投标文件所使用的度量衡单位，均须采用国家法定计量单位。</w:t>
      </w:r>
    </w:p>
    <w:p>
      <w:pPr>
        <w:pStyle w:val="26"/>
        <w:rPr>
          <w:b/>
          <w:bCs/>
          <w:sz w:val="28"/>
          <w:szCs w:val="28"/>
        </w:rPr>
      </w:pPr>
      <w:bookmarkStart w:id="67" w:name="_Toc513029215"/>
      <w:bookmarkStart w:id="68" w:name="_Toc462564074"/>
      <w:bookmarkStart w:id="69" w:name="_Toc16938531"/>
      <w:bookmarkStart w:id="70" w:name="_Toc20823287"/>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 xml:space="preserve"> 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68975"/>
      <w:bookmarkEnd w:id="71"/>
      <w:bookmarkStart w:id="72" w:name="_Hlt26670360"/>
      <w:bookmarkEnd w:id="72"/>
      <w:bookmarkStart w:id="73" w:name="_Hlt26954838"/>
      <w:bookmarkEnd w:id="73"/>
      <w:bookmarkStart w:id="74" w:name="_Toc513029219"/>
      <w:bookmarkStart w:id="75" w:name="_Toc14577357"/>
      <w:bookmarkStart w:id="76" w:name="_Toc49090509"/>
      <w:bookmarkStart w:id="77" w:name="_Toc513029216"/>
      <w:bookmarkStart w:id="78" w:name="_Toc14577354"/>
      <w:bookmarkStart w:id="79" w:name="_Toc49090507"/>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 xml:space="preserve"> 投标配置与分项报价表上的价格应按下列方式分开填写</w:t>
      </w:r>
      <w:r>
        <w:rPr>
          <w:rFonts w:hint="eastAsia"/>
          <w:sz w:val="28"/>
          <w:szCs w:val="28"/>
        </w:rPr>
        <w:t>：</w:t>
      </w:r>
    </w:p>
    <w:p>
      <w:pPr>
        <w:pStyle w:val="26"/>
        <w:rPr>
          <w:bCs/>
          <w:sz w:val="28"/>
          <w:szCs w:val="28"/>
        </w:rPr>
      </w:pPr>
      <w:bookmarkStart w:id="86" w:name="_Hlt26670403"/>
      <w:bookmarkEnd w:id="86"/>
      <w:bookmarkStart w:id="87" w:name="_Hlt26954842"/>
      <w:bookmarkEnd w:id="87"/>
      <w:bookmarkStart w:id="88" w:name="_Hlt26670425"/>
      <w:bookmarkEnd w:id="88"/>
      <w:bookmarkStart w:id="89" w:name="_Hlt26954844"/>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6"/>
      <w:bookmarkEnd w:id="91"/>
      <w:bookmarkStart w:id="92" w:name="_Hlt26670486"/>
      <w:bookmarkEnd w:id="92"/>
      <w:bookmarkStart w:id="93" w:name="_Hlt26954731"/>
      <w:bookmarkEnd w:id="93"/>
      <w:bookmarkStart w:id="94" w:name="_Hlt26954848"/>
      <w:bookmarkEnd w:id="94"/>
      <w:bookmarkStart w:id="95" w:name="_Hlt26670482"/>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 详细阐述所投货物的主要组成部分、功能设计、实现思路及关键技术；</w:t>
      </w:r>
    </w:p>
    <w:p>
      <w:pPr>
        <w:pStyle w:val="26"/>
        <w:rPr>
          <w:rFonts w:cs="宋体"/>
          <w:sz w:val="28"/>
          <w:szCs w:val="28"/>
          <w:lang w:val="zh-CN"/>
        </w:rPr>
      </w:pPr>
      <w:r>
        <w:rPr>
          <w:rFonts w:hint="eastAsia" w:cs="宋体"/>
          <w:sz w:val="28"/>
          <w:szCs w:val="28"/>
          <w:lang w:val="zh-CN"/>
        </w:rPr>
        <w:t>13.3 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 培训计划；</w:t>
      </w:r>
    </w:p>
    <w:p>
      <w:pPr>
        <w:pStyle w:val="26"/>
        <w:rPr>
          <w:rFonts w:cs="宋体"/>
          <w:sz w:val="28"/>
          <w:szCs w:val="28"/>
          <w:lang w:val="zh-CN"/>
        </w:rPr>
      </w:pPr>
      <w:r>
        <w:rPr>
          <w:rFonts w:hint="eastAsia" w:cs="宋体"/>
          <w:sz w:val="28"/>
          <w:szCs w:val="28"/>
          <w:lang w:val="zh-CN"/>
        </w:rPr>
        <w:t>14.4 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 xml:space="preserve"> 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 xml:space="preserve"> 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670489"/>
      <w:bookmarkEnd w:id="98"/>
      <w:bookmarkStart w:id="99" w:name="_Hlt26954734"/>
      <w:bookmarkEnd w:id="99"/>
      <w:bookmarkStart w:id="100" w:name="_Hlt26954850"/>
      <w:bookmarkEnd w:id="100"/>
      <w:bookmarkStart w:id="101" w:name="_Hlt26954739"/>
      <w:bookmarkEnd w:id="101"/>
      <w:bookmarkStart w:id="102" w:name="_Hlt26954852"/>
      <w:bookmarkEnd w:id="102"/>
      <w:bookmarkStart w:id="103" w:name="_Toc14577361"/>
      <w:bookmarkStart w:id="104" w:name="_Toc49090512"/>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3029224"/>
      <w:bookmarkStart w:id="106" w:name="_Toc16938540"/>
      <w:bookmarkStart w:id="107" w:name="_Toc20823296"/>
      <w:bookmarkStart w:id="108" w:name="_Toc120614217"/>
      <w:bookmarkStart w:id="109" w:name="_Toc517190885"/>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16938541"/>
      <w:bookmarkStart w:id="111" w:name="_Toc20823297"/>
      <w:bookmarkStart w:id="112" w:name="_Toc513029225"/>
      <w:bookmarkStart w:id="113" w:name="_Toc462564084"/>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 xml:space="preserve"> 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 xml:space="preserve"> 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 xml:space="preserve"> 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 xml:space="preserve"> 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 xml:space="preserve"> 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 xml:space="preserve"> 在投标截止时间至招标文件中规定的投标有效期满之间的这段时间内，投标人不得撤回其投标，否则其投标保证金将不予退还。</w:t>
      </w:r>
    </w:p>
    <w:p>
      <w:pPr>
        <w:pStyle w:val="26"/>
        <w:rPr>
          <w:b/>
          <w:sz w:val="28"/>
          <w:szCs w:val="28"/>
        </w:rPr>
      </w:pPr>
      <w:bookmarkStart w:id="123" w:name="_Toc513029229"/>
      <w:bookmarkStart w:id="124" w:name="_Toc16938545"/>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 xml:space="preserve"> 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 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 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 投标人在报价时不允许采用选择性报价，否则将被视为无效投标。</w:t>
      </w:r>
    </w:p>
    <w:p>
      <w:pPr>
        <w:pStyle w:val="26"/>
        <w:rPr>
          <w:bCs/>
          <w:sz w:val="28"/>
          <w:szCs w:val="28"/>
        </w:rPr>
      </w:pPr>
      <w:r>
        <w:rPr>
          <w:rFonts w:hint="eastAsia"/>
          <w:bCs/>
          <w:sz w:val="28"/>
          <w:szCs w:val="28"/>
        </w:rPr>
        <w:t>22.6 投标截止时间结束后参加投标的供应商不足三家的，不得开标。</w:t>
      </w:r>
    </w:p>
    <w:p>
      <w:pPr>
        <w:pStyle w:val="26"/>
        <w:rPr>
          <w:b/>
          <w:bCs/>
          <w:sz w:val="28"/>
          <w:szCs w:val="28"/>
        </w:rPr>
      </w:pPr>
      <w:bookmarkStart w:id="131" w:name="_Toc16938547"/>
      <w:bookmarkStart w:id="132" w:name="_Toc513029231"/>
      <w:bookmarkStart w:id="133" w:name="_Toc20823303"/>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 投标人被 “信用中国”网站（www.creditchina.gov.cn）列入失信被执行人或重大税收违法案件当事人名单或政府采购严重失信行为记录名单。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  投标文件含有采购人不能接受的附加条件的。</w:t>
      </w:r>
    </w:p>
    <w:p>
      <w:pPr>
        <w:pStyle w:val="26"/>
        <w:rPr>
          <w:bCs/>
          <w:sz w:val="28"/>
          <w:szCs w:val="28"/>
        </w:rPr>
      </w:pPr>
      <w:r>
        <w:rPr>
          <w:rFonts w:hint="eastAsia"/>
          <w:bCs/>
          <w:sz w:val="28"/>
          <w:szCs w:val="28"/>
        </w:rPr>
        <w:t>（10）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 xml:space="preserve">26.2 </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 xml:space="preserve"> 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 xml:space="preserve">26.4 </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 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 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20823309"/>
      <w:bookmarkStart w:id="161" w:name="_Toc513029237"/>
      <w:bookmarkStart w:id="162" w:name="_Toc16938553"/>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562"/>
        <w:rPr>
          <w:rFonts w:asciiTheme="minorEastAsia" w:hAnsiTheme="minorEastAsia" w:eastAsiaTheme="minorEastAsia" w:cstheme="minorEastAsia"/>
          <w:b/>
          <w:sz w:val="28"/>
          <w:szCs w:val="28"/>
        </w:rPr>
      </w:pPr>
    </w:p>
    <w:p>
      <w:pPr>
        <w:pStyle w:val="32"/>
        <w:spacing w:line="360" w:lineRule="auto"/>
        <w:ind w:firstLine="562"/>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一、参数要求</w:t>
      </w:r>
    </w:p>
    <w:p>
      <w:pPr>
        <w:ind w:firstLine="700" w:firstLineChars="25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1、采购标的：自动进样器配置       数量：1套</w:t>
      </w:r>
    </w:p>
    <w:p>
      <w:pPr>
        <w:ind w:firstLine="700" w:firstLineChars="250"/>
        <w:rPr>
          <w:rFonts w:asciiTheme="minorEastAsia" w:hAnsiTheme="minorEastAsia" w:eastAsiaTheme="minorEastAsia" w:cstheme="minorEastAsia"/>
          <w:kern w:val="2"/>
          <w:sz w:val="28"/>
          <w:szCs w:val="28"/>
        </w:rPr>
      </w:pPr>
      <w:r>
        <w:rPr>
          <w:rFonts w:hint="eastAsia" w:asciiTheme="minorEastAsia" w:hAnsiTheme="minorEastAsia" w:eastAsiaTheme="minorEastAsia" w:cstheme="minorEastAsia"/>
          <w:sz w:val="28"/>
          <w:szCs w:val="28"/>
        </w:rPr>
        <w:t>2、功能应用：</w:t>
      </w:r>
      <w:r>
        <w:rPr>
          <w:rFonts w:hint="eastAsia" w:asciiTheme="minorEastAsia" w:hAnsiTheme="minorEastAsia" w:eastAsiaTheme="minorEastAsia" w:cstheme="minorEastAsia"/>
          <w:kern w:val="2"/>
          <w:sz w:val="28"/>
          <w:szCs w:val="28"/>
        </w:rPr>
        <w:t>实现ICPMS自动进样，提高平台工作效率</w:t>
      </w:r>
    </w:p>
    <w:p>
      <w:pPr>
        <w:ind w:firstLine="700" w:firstLineChars="25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3、技术参数：</w:t>
      </w:r>
    </w:p>
    <w:p>
      <w:pPr>
        <w:spacing w:line="360" w:lineRule="auto"/>
        <w:ind w:left="880" w:leftChars="400"/>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shd w:val="clear" w:color="auto" w:fill="FFFFFF"/>
        </w:rPr>
        <w:t>（1）适用于大批量样品的自动分析； </w:t>
      </w:r>
      <w:r>
        <w:rPr>
          <w:rFonts w:hint="eastAsia" w:asciiTheme="minorEastAsia" w:hAnsiTheme="minorEastAsia" w:eastAsiaTheme="minorEastAsia" w:cstheme="minorEastAsia"/>
          <w:color w:val="6D6B6B"/>
          <w:sz w:val="28"/>
          <w:szCs w:val="28"/>
        </w:rPr>
        <w:br w:type="textWrapping"/>
      </w:r>
      <w:r>
        <w:rPr>
          <w:rFonts w:hint="eastAsia" w:asciiTheme="minorEastAsia" w:hAnsiTheme="minorEastAsia" w:eastAsiaTheme="minorEastAsia" w:cstheme="minorEastAsia"/>
          <w:color w:val="6D6B6B"/>
          <w:sz w:val="28"/>
          <w:szCs w:val="28"/>
        </w:rPr>
        <w:t>（2）</w:t>
      </w:r>
      <w:r>
        <w:rPr>
          <w:rFonts w:hint="eastAsia" w:asciiTheme="minorEastAsia" w:hAnsiTheme="minorEastAsia" w:eastAsiaTheme="minorEastAsia" w:cstheme="minorEastAsia"/>
          <w:color w:val="000000"/>
          <w:sz w:val="28"/>
          <w:szCs w:val="28"/>
          <w:shd w:val="clear" w:color="auto" w:fill="FFFFFF"/>
        </w:rPr>
        <w:t>外壳涂有防腐材料，在苛刻的化学环境下仍可确保优良的精密度；</w:t>
      </w:r>
      <w:r>
        <w:rPr>
          <w:rFonts w:hint="eastAsia" w:asciiTheme="minorEastAsia" w:hAnsiTheme="minorEastAsia" w:eastAsiaTheme="minorEastAsia" w:cstheme="minorEastAsia"/>
          <w:color w:val="6D6B6B"/>
          <w:sz w:val="28"/>
          <w:szCs w:val="28"/>
        </w:rPr>
        <w:br w:type="textWrapping"/>
      </w:r>
      <w:r>
        <w:rPr>
          <w:rFonts w:hint="eastAsia" w:asciiTheme="minorEastAsia" w:hAnsiTheme="minorEastAsia" w:eastAsiaTheme="minorEastAsia" w:cstheme="minorEastAsia"/>
          <w:color w:val="6D6B6B"/>
          <w:sz w:val="28"/>
          <w:szCs w:val="28"/>
        </w:rPr>
        <w:t>（3）</w:t>
      </w:r>
      <w:r>
        <w:rPr>
          <w:rFonts w:hint="eastAsia" w:asciiTheme="minorEastAsia" w:hAnsiTheme="minorEastAsia" w:eastAsiaTheme="minorEastAsia" w:cstheme="minorEastAsia"/>
          <w:color w:val="000000"/>
          <w:sz w:val="28"/>
          <w:szCs w:val="28"/>
          <w:shd w:val="clear" w:color="auto" w:fill="FFFFFF"/>
        </w:rPr>
        <w:t>碳纤维取样臂移动平稳、精确，噪音低，Z轴柔性驱动可有效保护进样针；</w:t>
      </w:r>
      <w:r>
        <w:rPr>
          <w:rFonts w:hint="eastAsia" w:asciiTheme="minorEastAsia" w:hAnsiTheme="minorEastAsia" w:eastAsiaTheme="minorEastAsia" w:cstheme="minorEastAsia"/>
          <w:color w:val="6D6B6B"/>
          <w:sz w:val="28"/>
          <w:szCs w:val="28"/>
        </w:rPr>
        <w:br w:type="textWrapping"/>
      </w:r>
      <w:r>
        <w:rPr>
          <w:rFonts w:hint="eastAsia" w:asciiTheme="minorEastAsia" w:hAnsiTheme="minorEastAsia" w:eastAsiaTheme="minorEastAsia" w:cstheme="minorEastAsia"/>
          <w:color w:val="000000"/>
          <w:sz w:val="28"/>
          <w:szCs w:val="28"/>
          <w:shd w:val="clear" w:color="auto" w:fill="FFFFFF"/>
        </w:rPr>
        <w:t>（4）可安装1-4个样品架，5种规格的样品架和样品管，至多360位样品通量；</w:t>
      </w:r>
      <w:r>
        <w:rPr>
          <w:rFonts w:hint="eastAsia" w:asciiTheme="minorEastAsia" w:hAnsiTheme="minorEastAsia" w:eastAsiaTheme="minorEastAsia" w:cstheme="minorEastAsia"/>
          <w:color w:val="6D6B6B"/>
          <w:sz w:val="28"/>
          <w:szCs w:val="28"/>
        </w:rPr>
        <w:br w:type="textWrapping"/>
      </w:r>
      <w:r>
        <w:rPr>
          <w:rFonts w:hint="eastAsia" w:asciiTheme="minorEastAsia" w:hAnsiTheme="minorEastAsia" w:eastAsiaTheme="minorEastAsia" w:cstheme="minorEastAsia"/>
          <w:color w:val="000000"/>
          <w:sz w:val="28"/>
          <w:szCs w:val="28"/>
          <w:shd w:val="clear" w:color="auto" w:fill="FFFFFF"/>
        </w:rPr>
        <w:t>（5）双路冲洗，节约进样时间，进样量可调：0.1-80 mL/min；</w:t>
      </w:r>
      <w:r>
        <w:rPr>
          <w:rFonts w:hint="eastAsia" w:asciiTheme="minorEastAsia" w:hAnsiTheme="minorEastAsia" w:eastAsiaTheme="minorEastAsia" w:cstheme="minorEastAsia"/>
          <w:color w:val="6D6B6B"/>
          <w:sz w:val="28"/>
          <w:szCs w:val="28"/>
        </w:rPr>
        <w:br w:type="textWrapping"/>
      </w:r>
      <w:r>
        <w:rPr>
          <w:rFonts w:hint="eastAsia" w:asciiTheme="minorEastAsia" w:hAnsiTheme="minorEastAsia" w:eastAsiaTheme="minorEastAsia" w:cstheme="minorEastAsia"/>
          <w:color w:val="000000"/>
          <w:sz w:val="28"/>
          <w:szCs w:val="28"/>
          <w:shd w:val="clear" w:color="auto" w:fill="FFFFFF"/>
        </w:rPr>
        <w:t>（6）支持有序进样和随机采样的功能，提供灵活多变的进样方式；</w:t>
      </w:r>
      <w:r>
        <w:rPr>
          <w:rFonts w:hint="eastAsia" w:asciiTheme="minorEastAsia" w:hAnsiTheme="minorEastAsia" w:eastAsiaTheme="minorEastAsia" w:cstheme="minorEastAsia"/>
          <w:color w:val="6D6B6B"/>
          <w:sz w:val="28"/>
          <w:szCs w:val="28"/>
        </w:rPr>
        <w:br w:type="textWrapping"/>
      </w:r>
      <w:r>
        <w:rPr>
          <w:rFonts w:hint="eastAsia" w:asciiTheme="minorEastAsia" w:hAnsiTheme="minorEastAsia" w:eastAsiaTheme="minorEastAsia" w:cstheme="minorEastAsia"/>
          <w:color w:val="000000"/>
          <w:sz w:val="28"/>
          <w:szCs w:val="28"/>
          <w:shd w:val="clear" w:color="auto" w:fill="FFFFFF"/>
        </w:rPr>
        <w:t>（7）使用专用的通讯协议，同时通过安装分析仪器软件的电脑提供典型的连接和控制；</w:t>
      </w:r>
    </w:p>
    <w:p>
      <w:pPr>
        <w:spacing w:line="360" w:lineRule="auto"/>
        <w:ind w:left="880" w:leftChars="400"/>
      </w:pPr>
      <w:r>
        <w:rPr>
          <w:rFonts w:hint="eastAsia" w:asciiTheme="minorEastAsia" w:hAnsiTheme="minorEastAsia" w:eastAsiaTheme="minorEastAsia" w:cstheme="minorEastAsia"/>
          <w:color w:val="000000"/>
          <w:sz w:val="28"/>
          <w:szCs w:val="28"/>
        </w:rPr>
        <w:t>★</w:t>
      </w:r>
      <w:r>
        <w:rPr>
          <w:rFonts w:hint="eastAsia" w:asciiTheme="minorEastAsia" w:hAnsiTheme="minorEastAsia" w:eastAsiaTheme="minorEastAsia" w:cstheme="minorEastAsia"/>
          <w:color w:val="000000"/>
          <w:sz w:val="28"/>
          <w:szCs w:val="28"/>
          <w:shd w:val="clear" w:color="auto" w:fill="FFFFFF"/>
        </w:rPr>
        <w:t>（8）</w:t>
      </w:r>
      <w:r>
        <w:rPr>
          <w:rFonts w:hint="eastAsia" w:asciiTheme="minorEastAsia" w:hAnsiTheme="minorEastAsia" w:eastAsiaTheme="minorEastAsia" w:cstheme="minorEastAsia"/>
          <w:kern w:val="2"/>
          <w:sz w:val="28"/>
          <w:szCs w:val="28"/>
        </w:rPr>
        <w:t>自动进样器可以与实验室原有的Thermo的iCAPQ相兼容，能够配套使用；</w:t>
      </w: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仪器的各项性能（包括硬件和软件），时间不少于三天。在仪器使用集中培训以后，若买方仍有技术问题，卖方在任何时候，都应在48小时以内提供详细技术方案并予以解决。</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保修期：免费质保期1年，终身维修，自验收合格之日起算，并提供相关承诺书。质保期内发生任何设备损坏，所需要的维修费用（包括零部件费用、维修费用）均由卖方承担（人为操作不当造成的损坏除外）。</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（4）卖方免费提供由专业工程师现场指导的移机服务，并安装、调试。</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asciiTheme="minorEastAsia" w:hAnsiTheme="minorEastAsia" w:eastAsiaTheme="minorEastAsia"/>
          <w:bCs/>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r>
        <w:rPr>
          <w:rFonts w:hint="eastAsia" w:asciiTheme="minorEastAsia" w:hAnsiTheme="minorEastAsia" w:eastAsiaTheme="minorEastAsia" w:cstheme="minorEastAsia"/>
          <w:kern w:val="2"/>
          <w:sz w:val="28"/>
          <w:szCs w:val="28"/>
        </w:rPr>
        <w:t>满足标准曲线线性999以上。</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highlight w:val="none"/>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w:t>
      </w:r>
      <w:r>
        <w:rPr>
          <w:rFonts w:asciiTheme="minorEastAsia" w:hAnsiTheme="minorEastAsia" w:eastAsiaTheme="minorEastAsia"/>
          <w:bCs/>
          <w:sz w:val="28"/>
          <w:szCs w:val="28"/>
          <w:highlight w:val="none"/>
        </w:rPr>
        <w:t xml:space="preserve"> 交货期：</w:t>
      </w:r>
      <w:r>
        <w:rPr>
          <w:rFonts w:hint="eastAsia" w:asciiTheme="minorEastAsia" w:hAnsiTheme="minorEastAsia" w:eastAsiaTheme="minorEastAsia"/>
          <w:bCs/>
          <w:sz w:val="28"/>
          <w:szCs w:val="28"/>
          <w:highlight w:val="none"/>
        </w:rPr>
        <w:t>合同签订生效后，两周内全部设备、材料运抵现场，并安装、调试结束，验收合格，交付买方使用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5"/>
        <w:spacing w:line="0" w:lineRule="atLeast"/>
        <w:ind w:firstLine="281" w:firstLineChars="1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交付使用前发生的产品硬件损坏和不合格，一律退换新品。在质保期间的前三个月内发生的产品损坏和性能不合格（非使用不当原因造成），除采购人同意修理者外，亦应退换新品。</w:t>
      </w:r>
    </w:p>
    <w:p>
      <w:pPr>
        <w:spacing w:line="360" w:lineRule="auto"/>
        <w:ind w:firstLine="281" w:firstLineChars="1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jc w:val="left"/>
        <w:rPr>
          <w:rFonts w:asciiTheme="minorEastAsia" w:hAnsiTheme="minorEastAsia" w:eastAsiaTheme="minorEastAsia"/>
          <w:b/>
          <w:bCs/>
          <w:sz w:val="44"/>
          <w:szCs w:val="44"/>
        </w:rPr>
      </w:pPr>
      <w:bookmarkStart w:id="165" w:name="_Toc401414769"/>
      <w:r>
        <w:rPr>
          <w:rFonts w:hint="eastAsia" w:ascii="宋体" w:hAnsi="宋体" w:eastAsia="宋体" w:cs="宋体"/>
          <w:szCs w:val="21"/>
        </w:rPr>
        <w:t>货到后以15天为验收期限，中标价小于等于20万元的设备，验收期满或验收合格后付全款；中标价大于20万元的设备，验收期满或验收合格后支付到合同金额的90%，余10%尾款于正常使用一年后无息支付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jc w:val="left"/>
        <w:rPr>
          <w:rFonts w:ascii="宋体" w:hAnsi="宋体" w:eastAsia="宋体"/>
          <w:b/>
          <w:bCs/>
          <w:sz w:val="44"/>
          <w:szCs w:val="44"/>
        </w:rPr>
      </w:pPr>
      <w:bookmarkStart w:id="166" w:name="_Toc523931348"/>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bookmarkStart w:id="180" w:name="_GoBack"/>
      <w:bookmarkEnd w:id="180"/>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1"/>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768"/>
        <w:gridCol w:w="2378"/>
        <w:gridCol w:w="678"/>
        <w:gridCol w:w="4698"/>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746" w:hRule="atLeast"/>
          <w:jc w:val="center"/>
        </w:trPr>
        <w:tc>
          <w:tcPr>
            <w:tcW w:w="7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序号</w:t>
            </w:r>
          </w:p>
        </w:tc>
        <w:tc>
          <w:tcPr>
            <w:tcW w:w="23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项目</w:t>
            </w:r>
          </w:p>
        </w:tc>
        <w:tc>
          <w:tcPr>
            <w:tcW w:w="6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分值</w:t>
            </w:r>
          </w:p>
        </w:tc>
        <w:tc>
          <w:tcPr>
            <w:tcW w:w="469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说明</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307" w:hRule="atLeast"/>
          <w:jc w:val="center"/>
        </w:trPr>
        <w:tc>
          <w:tcPr>
            <w:tcW w:w="768" w:type="dxa"/>
            <w:tcBorders>
              <w:top w:val="nil"/>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1</w:t>
            </w:r>
          </w:p>
        </w:tc>
        <w:tc>
          <w:tcPr>
            <w:tcW w:w="2378" w:type="dxa"/>
            <w:tcBorders>
              <w:top w:val="nil"/>
              <w:left w:val="nil"/>
              <w:bottom w:val="single" w:color="auto" w:sz="8" w:space="0"/>
              <w:right w:val="single" w:color="auto" w:sz="8" w:space="0"/>
            </w:tcBorders>
            <w:tcMar>
              <w:left w:w="108" w:type="dxa"/>
              <w:right w:w="108" w:type="dxa"/>
            </w:tcMar>
            <w:vAlign w:val="center"/>
          </w:tcPr>
          <w:p>
            <w:pPr>
              <w:widowControl w:val="0"/>
              <w:spacing w:line="360" w:lineRule="auto"/>
              <w:jc w:val="center"/>
              <w:rPr>
                <w:rFonts w:ascii="Arial" w:hAnsi="Arial" w:cs="Arial"/>
                <w:bCs/>
                <w:sz w:val="21"/>
                <w:szCs w:val="21"/>
              </w:rPr>
            </w:pPr>
            <w:r>
              <w:rPr>
                <w:rFonts w:ascii="Arial" w:hAnsi="Arial" w:cs="Arial"/>
                <w:bCs/>
                <w:sz w:val="21"/>
                <w:szCs w:val="21"/>
              </w:rPr>
              <w:t>价格（</w:t>
            </w:r>
            <w:r>
              <w:rPr>
                <w:rFonts w:hint="eastAsia" w:ascii="Arial" w:hAnsi="Arial" w:cs="Arial"/>
                <w:bCs/>
                <w:sz w:val="21"/>
                <w:szCs w:val="21"/>
              </w:rPr>
              <w:t>45</w:t>
            </w:r>
            <w:r>
              <w:rPr>
                <w:rFonts w:ascii="Arial" w:hAnsi="Arial" w:cs="Arial"/>
                <w:bCs/>
                <w:sz w:val="21"/>
                <w:szCs w:val="21"/>
              </w:rPr>
              <w:t>分）</w:t>
            </w:r>
          </w:p>
        </w:tc>
        <w:tc>
          <w:tcPr>
            <w:tcW w:w="678" w:type="dxa"/>
            <w:tcBorders>
              <w:top w:val="nil"/>
              <w:left w:val="nil"/>
              <w:bottom w:val="single" w:color="auto" w:sz="8" w:space="0"/>
              <w:right w:val="single" w:color="auto" w:sz="8" w:space="0"/>
            </w:tcBorders>
            <w:tcMar>
              <w:left w:w="108" w:type="dxa"/>
              <w:right w:w="108" w:type="dxa"/>
            </w:tcMar>
            <w:vAlign w:val="center"/>
          </w:tcPr>
          <w:p>
            <w:pPr>
              <w:jc w:val="center"/>
              <w:rPr>
                <w:rFonts w:ascii="Arial" w:hAnsi="Arial" w:cs="Arial"/>
                <w:bCs/>
              </w:rPr>
            </w:pPr>
            <w:r>
              <w:rPr>
                <w:rFonts w:hint="eastAsia" w:ascii="Arial" w:hAnsi="Arial" w:cs="Arial"/>
                <w:bCs/>
              </w:rPr>
              <w:t>45</w:t>
            </w:r>
          </w:p>
        </w:tc>
        <w:tc>
          <w:tcPr>
            <w:tcW w:w="4698" w:type="dxa"/>
            <w:tcBorders>
              <w:top w:val="nil"/>
              <w:left w:val="nil"/>
              <w:bottom w:val="single" w:color="auto" w:sz="8" w:space="0"/>
              <w:right w:val="single" w:color="auto" w:sz="8" w:space="0"/>
            </w:tcBorders>
            <w:tcMar>
              <w:left w:w="108" w:type="dxa"/>
              <w:right w:w="108" w:type="dxa"/>
            </w:tcMar>
            <w:vAlign w:val="center"/>
          </w:tcPr>
          <w:p>
            <w:pPr>
              <w:rPr>
                <w:rFonts w:ascii="宋体" w:hAnsi="宋体" w:eastAsia="宋体" w:cs="Arial"/>
                <w:bCs/>
                <w:sz w:val="21"/>
                <w:szCs w:val="21"/>
              </w:rPr>
            </w:pPr>
            <w:r>
              <w:rPr>
                <w:rFonts w:cs="Arial" w:asciiTheme="minorEastAsia" w:hAnsiTheme="minorEastAsia" w:eastAsiaTheme="minorEastAsia"/>
                <w:bCs/>
                <w:sz w:val="21"/>
                <w:szCs w:val="21"/>
              </w:rPr>
              <w:t>本次招标，以进入详细评审的各投标人评标价的最低值为A值，A值为价格分的满分，即</w:t>
            </w:r>
            <w:r>
              <w:rPr>
                <w:rFonts w:hint="eastAsia" w:cs="Arial" w:asciiTheme="minorEastAsia" w:hAnsiTheme="minorEastAsia" w:eastAsiaTheme="minorEastAsia"/>
                <w:bCs/>
                <w:sz w:val="21"/>
                <w:szCs w:val="21"/>
              </w:rPr>
              <w:t>45</w:t>
            </w:r>
            <w:r>
              <w:rPr>
                <w:rFonts w:cs="Arial" w:asciiTheme="minorEastAsia" w:hAnsiTheme="minorEastAsia" w:eastAsiaTheme="minorEastAsia"/>
                <w:bCs/>
                <w:sz w:val="21"/>
                <w:szCs w:val="21"/>
              </w:rPr>
              <w:t>分。其他投标人的价格分统一按照以下公式计算：投标人评标价得分=（A／该投标人评标价）×</w:t>
            </w:r>
            <w:r>
              <w:rPr>
                <w:rFonts w:hint="eastAsia" w:cs="Arial" w:asciiTheme="minorEastAsia" w:hAnsiTheme="minorEastAsia" w:eastAsiaTheme="minorEastAsia"/>
                <w:bCs/>
                <w:sz w:val="21"/>
                <w:szCs w:val="21"/>
              </w:rPr>
              <w:t>45</w:t>
            </w:r>
            <w:r>
              <w:rPr>
                <w:rFonts w:cs="Arial" w:asciiTheme="minorEastAsia" w:hAnsiTheme="minorEastAsia" w:eastAsiaTheme="minorEastAsia"/>
                <w:bCs/>
                <w:sz w:val="21"/>
                <w:szCs w:val="21"/>
              </w:rPr>
              <w:t>。</w:t>
            </w:r>
            <w:r>
              <w:rPr>
                <w:rFonts w:hint="eastAsia" w:cs="Arial" w:asciiTheme="minorEastAsia" w:hAnsiTheme="minorEastAsia" w:eastAsiaTheme="minorEastAsia"/>
                <w:bCs/>
                <w:sz w:val="21"/>
                <w:szCs w:val="21"/>
              </w:rPr>
              <w:t>（分值保留到小数点后一位）</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223" w:hRule="atLeast"/>
          <w:jc w:val="center"/>
        </w:trPr>
        <w:tc>
          <w:tcPr>
            <w:tcW w:w="768" w:type="dxa"/>
            <w:tcBorders>
              <w:top w:val="nil"/>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2</w:t>
            </w:r>
          </w:p>
        </w:tc>
        <w:tc>
          <w:tcPr>
            <w:tcW w:w="2378" w:type="dxa"/>
            <w:tcBorders>
              <w:top w:val="nil"/>
              <w:left w:val="nil"/>
              <w:bottom w:val="single" w:color="auto" w:sz="8" w:space="0"/>
              <w:right w:val="single" w:color="auto" w:sz="8" w:space="0"/>
            </w:tcBorders>
            <w:tcMar>
              <w:left w:w="108" w:type="dxa"/>
              <w:right w:w="108" w:type="dxa"/>
            </w:tcMar>
            <w:vAlign w:val="center"/>
          </w:tcPr>
          <w:p>
            <w:pPr>
              <w:rPr>
                <w:rFonts w:ascii="Arial" w:hAnsi="Arial" w:cs="Arial"/>
                <w:bCs/>
                <w:sz w:val="21"/>
                <w:szCs w:val="21"/>
              </w:rPr>
            </w:pPr>
            <w:r>
              <w:rPr>
                <w:rFonts w:hint="eastAsia" w:ascii="Arial" w:hAnsi="Arial" w:cs="Arial"/>
                <w:bCs/>
                <w:sz w:val="21"/>
                <w:szCs w:val="21"/>
              </w:rPr>
              <w:t>投标产品对招标文件技术指标的响应情况</w:t>
            </w:r>
          </w:p>
        </w:tc>
        <w:tc>
          <w:tcPr>
            <w:tcW w:w="678" w:type="dxa"/>
            <w:tcBorders>
              <w:top w:val="nil"/>
              <w:left w:val="nil"/>
              <w:bottom w:val="single" w:color="auto" w:sz="8" w:space="0"/>
              <w:right w:val="single" w:color="auto" w:sz="8" w:space="0"/>
            </w:tcBorders>
            <w:tcMar>
              <w:left w:w="108" w:type="dxa"/>
              <w:right w:w="108" w:type="dxa"/>
            </w:tcMar>
            <w:vAlign w:val="center"/>
          </w:tcPr>
          <w:p>
            <w:pPr>
              <w:jc w:val="center"/>
              <w:rPr>
                <w:rFonts w:ascii="Arial" w:hAnsi="Arial" w:cs="Arial"/>
                <w:bCs/>
              </w:rPr>
            </w:pPr>
            <w:r>
              <w:rPr>
                <w:rFonts w:hint="eastAsia" w:ascii="Arial" w:hAnsi="Arial" w:cs="Arial"/>
                <w:bCs/>
              </w:rPr>
              <w:t>30</w:t>
            </w:r>
          </w:p>
        </w:tc>
        <w:tc>
          <w:tcPr>
            <w:tcW w:w="4698" w:type="dxa"/>
            <w:tcBorders>
              <w:top w:val="nil"/>
              <w:left w:val="nil"/>
              <w:bottom w:val="single" w:color="auto" w:sz="8" w:space="0"/>
              <w:right w:val="single" w:color="auto" w:sz="8" w:space="0"/>
            </w:tcBorders>
            <w:tcMar>
              <w:left w:w="108" w:type="dxa"/>
              <w:right w:w="108" w:type="dxa"/>
            </w:tcMar>
            <w:vAlign w:val="center"/>
          </w:tcPr>
          <w:p>
            <w:pPr>
              <w:pStyle w:val="32"/>
              <w:numPr>
                <w:ilvl w:val="0"/>
                <w:numId w:val="3"/>
              </w:numPr>
              <w:spacing w:line="360" w:lineRule="auto"/>
              <w:ind w:firstLineChars="0"/>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投标产品对招标文件具体需求的响应程度满足招标文件技术指标、参数要求的得24分（" ★"项的为主要指标，不满足的每项减8分；其他每有一项负偏离的减4分；负偏离超过3项的不得分）。</w:t>
            </w:r>
          </w:p>
          <w:p>
            <w:pPr>
              <w:pStyle w:val="32"/>
              <w:numPr>
                <w:ilvl w:val="0"/>
                <w:numId w:val="3"/>
              </w:numPr>
              <w:spacing w:line="360" w:lineRule="auto"/>
              <w:ind w:firstLineChars="0"/>
              <w:rPr>
                <w:rFonts w:cs="宋体" w:asciiTheme="minorEastAsia" w:hAnsiTheme="minorEastAsia" w:eastAsiaTheme="minorEastAsia"/>
                <w:bCs/>
                <w:sz w:val="21"/>
                <w:szCs w:val="21"/>
              </w:rPr>
            </w:pPr>
            <w:r>
              <w:rPr>
                <w:rFonts w:hint="eastAsia" w:cs="宋体" w:asciiTheme="minorEastAsia" w:hAnsiTheme="minorEastAsia" w:eastAsiaTheme="minorEastAsia"/>
                <w:bCs/>
                <w:sz w:val="21"/>
                <w:szCs w:val="21"/>
              </w:rPr>
              <w:t>每有一项优于招标文件，经评委会认可的加2分，最多加6分。）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453" w:hRule="atLeast"/>
          <w:jc w:val="center"/>
        </w:trPr>
        <w:tc>
          <w:tcPr>
            <w:tcW w:w="768" w:type="dxa"/>
            <w:tcBorders>
              <w:top w:val="nil"/>
              <w:left w:val="single" w:color="auto" w:sz="8" w:space="0"/>
              <w:bottom w:val="single" w:color="auto" w:sz="4" w:space="0"/>
              <w:right w:val="single" w:color="auto" w:sz="8"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3</w:t>
            </w:r>
          </w:p>
        </w:tc>
        <w:tc>
          <w:tcPr>
            <w:tcW w:w="2378" w:type="dxa"/>
            <w:tcBorders>
              <w:top w:val="nil"/>
              <w:left w:val="nil"/>
              <w:bottom w:val="single" w:color="auto" w:sz="4" w:space="0"/>
              <w:right w:val="single" w:color="auto" w:sz="8" w:space="0"/>
            </w:tcBorders>
            <w:tcMar>
              <w:left w:w="108" w:type="dxa"/>
              <w:right w:w="108" w:type="dxa"/>
            </w:tcMar>
            <w:vAlign w:val="center"/>
          </w:tcPr>
          <w:p>
            <w:pPr>
              <w:rPr>
                <w:rFonts w:ascii="Arial" w:hAnsi="Arial" w:cs="Arial"/>
                <w:bCs/>
                <w:sz w:val="21"/>
                <w:szCs w:val="21"/>
              </w:rPr>
            </w:pPr>
            <w:r>
              <w:rPr>
                <w:rFonts w:hint="eastAsia" w:ascii="Arial" w:hAnsi="Arial" w:cs="Arial"/>
                <w:bCs/>
                <w:sz w:val="21"/>
                <w:szCs w:val="21"/>
              </w:rPr>
              <w:t>投标产品的质量、先进性、匹配性、可靠性、稳定性等情况的评价</w:t>
            </w:r>
          </w:p>
        </w:tc>
        <w:tc>
          <w:tcPr>
            <w:tcW w:w="678" w:type="dxa"/>
            <w:tcBorders>
              <w:top w:val="nil"/>
              <w:left w:val="nil"/>
              <w:bottom w:val="single" w:color="auto" w:sz="4" w:space="0"/>
              <w:right w:val="single" w:color="auto" w:sz="8" w:space="0"/>
            </w:tcBorders>
            <w:tcMar>
              <w:left w:w="108" w:type="dxa"/>
              <w:right w:w="108" w:type="dxa"/>
            </w:tcMar>
            <w:vAlign w:val="center"/>
          </w:tcPr>
          <w:p>
            <w:pPr>
              <w:jc w:val="center"/>
              <w:rPr>
                <w:rFonts w:ascii="Arial" w:hAnsi="Arial" w:cs="Arial"/>
                <w:bCs/>
              </w:rPr>
            </w:pPr>
            <w:r>
              <w:rPr>
                <w:rFonts w:hint="eastAsia" w:ascii="Arial" w:hAnsi="Arial" w:cs="Arial"/>
                <w:bCs/>
              </w:rPr>
              <w:t>5</w:t>
            </w:r>
          </w:p>
        </w:tc>
        <w:tc>
          <w:tcPr>
            <w:tcW w:w="4698" w:type="dxa"/>
            <w:tcBorders>
              <w:top w:val="nil"/>
              <w:left w:val="nil"/>
              <w:bottom w:val="single" w:color="auto" w:sz="4" w:space="0"/>
              <w:right w:val="single" w:color="auto" w:sz="8" w:space="0"/>
            </w:tcBorders>
            <w:tcMar>
              <w:left w:w="108" w:type="dxa"/>
              <w:right w:w="108" w:type="dxa"/>
            </w:tcMar>
            <w:vAlign w:val="center"/>
          </w:tcPr>
          <w:p>
            <w:pPr>
              <w:rPr>
                <w:rFonts w:ascii="宋体" w:hAnsi="宋体" w:eastAsia="宋体" w:cs="Arial"/>
                <w:bCs/>
                <w:sz w:val="21"/>
                <w:szCs w:val="21"/>
              </w:rPr>
            </w:pPr>
            <w:r>
              <w:rPr>
                <w:rFonts w:hint="eastAsia" w:cs="Arial" w:asciiTheme="minorEastAsia" w:hAnsiTheme="minorEastAsia" w:eastAsiaTheme="minorEastAsia"/>
                <w:bCs/>
                <w:sz w:val="21"/>
                <w:szCs w:val="21"/>
              </w:rPr>
              <w:t>评委根据投标产品的</w:t>
            </w:r>
            <w:r>
              <w:rPr>
                <w:rFonts w:hint="eastAsia" w:ascii="宋体" w:hAnsi="宋体" w:eastAsia="宋体" w:cs="Arial"/>
                <w:bCs/>
                <w:sz w:val="21"/>
                <w:szCs w:val="21"/>
              </w:rPr>
              <w:t>系列、档次、市场占有率、影响力及产品的先进性、可靠性、稳定性等方面进行综合评价，好得4-5分，较好得2-3分，一般得</w:t>
            </w:r>
            <w:r>
              <w:rPr>
                <w:rFonts w:ascii="宋体" w:hAnsi="宋体" w:eastAsia="宋体" w:cs="Arial"/>
                <w:bCs/>
                <w:sz w:val="21"/>
                <w:szCs w:val="21"/>
              </w:rPr>
              <w:t>0-</w:t>
            </w:r>
            <w:r>
              <w:rPr>
                <w:rFonts w:hint="eastAsia" w:ascii="宋体" w:hAnsi="宋体" w:eastAsia="宋体" w:cs="Arial"/>
                <w:bCs/>
                <w:sz w:val="21"/>
                <w:szCs w:val="21"/>
              </w:rPr>
              <w:t>1分。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60" w:hRule="atLeast"/>
          <w:jc w:val="center"/>
        </w:trPr>
        <w:tc>
          <w:tcPr>
            <w:tcW w:w="76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4</w:t>
            </w:r>
          </w:p>
        </w:tc>
        <w:tc>
          <w:tcPr>
            <w:tcW w:w="23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rPr>
                <w:rFonts w:ascii="Arial" w:hAnsi="Arial" w:cs="Arial"/>
                <w:bCs/>
                <w:sz w:val="21"/>
                <w:szCs w:val="21"/>
              </w:rPr>
            </w:pPr>
            <w:r>
              <w:rPr>
                <w:rFonts w:hint="eastAsia" w:ascii="Arial" w:hAnsi="Arial" w:cs="Arial"/>
                <w:bCs/>
                <w:sz w:val="21"/>
                <w:szCs w:val="21"/>
              </w:rPr>
              <w:t>产品销售业绩</w:t>
            </w:r>
          </w:p>
        </w:tc>
        <w:tc>
          <w:tcPr>
            <w:tcW w:w="6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jc w:val="center"/>
              <w:rPr>
                <w:rFonts w:ascii="Arial" w:hAnsi="Arial" w:cs="Arial"/>
                <w:bCs/>
              </w:rPr>
            </w:pPr>
            <w:r>
              <w:rPr>
                <w:rFonts w:hint="eastAsia" w:ascii="Arial" w:hAnsi="Arial" w:cs="Arial"/>
                <w:bCs/>
              </w:rPr>
              <w:t>5</w:t>
            </w:r>
          </w:p>
        </w:tc>
        <w:tc>
          <w:tcPr>
            <w:tcW w:w="469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rPr>
                <w:rFonts w:ascii="宋体" w:hAnsi="宋体" w:eastAsia="宋体" w:cs="Arial"/>
                <w:bCs/>
                <w:sz w:val="21"/>
                <w:szCs w:val="21"/>
              </w:rPr>
            </w:pPr>
            <w:r>
              <w:rPr>
                <w:rFonts w:hint="eastAsia" w:cs="Arial" w:asciiTheme="minorEastAsia" w:hAnsiTheme="minorEastAsia" w:eastAsiaTheme="minorEastAsia"/>
                <w:sz w:val="21"/>
                <w:szCs w:val="21"/>
              </w:rPr>
              <w:t>投标人2015年01月01日以来的类似项目业绩，每提供一个得2.5分，最高得5分。 （请提供有效的加盖公章的合同复印件，原件备查）</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60" w:hRule="atLeast"/>
          <w:jc w:val="center"/>
        </w:trPr>
        <w:tc>
          <w:tcPr>
            <w:tcW w:w="768" w:type="dxa"/>
            <w:tcBorders>
              <w:top w:val="single" w:color="auto" w:sz="4" w:space="0"/>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5</w:t>
            </w:r>
          </w:p>
        </w:tc>
        <w:tc>
          <w:tcPr>
            <w:tcW w:w="2378" w:type="dxa"/>
            <w:tcBorders>
              <w:top w:val="single" w:color="auto" w:sz="4" w:space="0"/>
              <w:left w:val="nil"/>
              <w:bottom w:val="single" w:color="auto" w:sz="8" w:space="0"/>
              <w:right w:val="single" w:color="auto" w:sz="8" w:space="0"/>
            </w:tcBorders>
            <w:tcMar>
              <w:left w:w="108" w:type="dxa"/>
              <w:right w:w="108" w:type="dxa"/>
            </w:tcMar>
            <w:vAlign w:val="center"/>
          </w:tcPr>
          <w:p>
            <w:pPr>
              <w:rPr>
                <w:rFonts w:ascii="Arial" w:hAnsi="Arial" w:cs="Arial"/>
                <w:bCs/>
                <w:sz w:val="21"/>
                <w:szCs w:val="21"/>
              </w:rPr>
            </w:pPr>
            <w:r>
              <w:rPr>
                <w:rFonts w:hint="eastAsia" w:ascii="Arial" w:hAnsi="Arial" w:cs="Arial"/>
                <w:bCs/>
                <w:sz w:val="21"/>
                <w:szCs w:val="21"/>
              </w:rPr>
              <w:t>售后服务与培训</w:t>
            </w:r>
          </w:p>
        </w:tc>
        <w:tc>
          <w:tcPr>
            <w:tcW w:w="678" w:type="dxa"/>
            <w:tcBorders>
              <w:top w:val="single" w:color="auto" w:sz="4" w:space="0"/>
              <w:left w:val="nil"/>
              <w:bottom w:val="single" w:color="auto" w:sz="8" w:space="0"/>
              <w:right w:val="single" w:color="auto" w:sz="8" w:space="0"/>
            </w:tcBorders>
            <w:tcMar>
              <w:left w:w="108" w:type="dxa"/>
              <w:right w:w="108" w:type="dxa"/>
            </w:tcMar>
            <w:vAlign w:val="center"/>
          </w:tcPr>
          <w:p>
            <w:pPr>
              <w:jc w:val="center"/>
              <w:rPr>
                <w:rFonts w:ascii="Arial" w:hAnsi="Arial" w:cs="Arial"/>
                <w:bCs/>
              </w:rPr>
            </w:pPr>
            <w:r>
              <w:rPr>
                <w:rFonts w:hint="eastAsia" w:ascii="Arial" w:hAnsi="Arial" w:cs="Arial"/>
                <w:bCs/>
              </w:rPr>
              <w:t>15</w:t>
            </w:r>
          </w:p>
        </w:tc>
        <w:tc>
          <w:tcPr>
            <w:tcW w:w="4698" w:type="dxa"/>
            <w:tcBorders>
              <w:top w:val="single" w:color="auto" w:sz="4" w:space="0"/>
              <w:left w:val="nil"/>
              <w:bottom w:val="single" w:color="auto" w:sz="8" w:space="0"/>
              <w:right w:val="single" w:color="auto" w:sz="8" w:space="0"/>
            </w:tcBorders>
            <w:tcMar>
              <w:left w:w="108" w:type="dxa"/>
              <w:right w:w="108" w:type="dxa"/>
            </w:tcMar>
            <w:vAlign w:val="center"/>
          </w:tcPr>
          <w:p>
            <w:pPr>
              <w:rPr>
                <w:rFonts w:ascii="宋体" w:hAnsi="宋体" w:eastAsia="宋体" w:cs="Arial"/>
                <w:bCs/>
                <w:sz w:val="21"/>
                <w:szCs w:val="21"/>
              </w:rPr>
            </w:pPr>
            <w:r>
              <w:rPr>
                <w:rFonts w:ascii="宋体" w:hAnsi="宋体" w:eastAsia="宋体" w:cs="Arial"/>
                <w:bCs/>
                <w:sz w:val="21"/>
                <w:szCs w:val="21"/>
              </w:rPr>
              <w:t>1.</w:t>
            </w:r>
            <w:r>
              <w:rPr>
                <w:rFonts w:hint="eastAsia" w:ascii="宋体" w:hAnsi="宋体" w:eastAsia="宋体" w:cs="Arial"/>
                <w:bCs/>
                <w:sz w:val="21"/>
                <w:szCs w:val="21"/>
              </w:rPr>
              <w:t>产品免费质保期内的修、配、换及维护保养内容进行综合评分，得分为</w:t>
            </w:r>
            <w:r>
              <w:rPr>
                <w:rFonts w:ascii="宋体" w:hAnsi="宋体" w:eastAsia="宋体" w:cs="Arial"/>
                <w:bCs/>
                <w:sz w:val="21"/>
                <w:szCs w:val="21"/>
              </w:rPr>
              <w:t>0-</w:t>
            </w:r>
            <w:r>
              <w:rPr>
                <w:rFonts w:hint="eastAsia" w:ascii="宋体" w:hAnsi="宋体" w:eastAsia="宋体" w:cs="Arial"/>
                <w:bCs/>
                <w:sz w:val="21"/>
                <w:szCs w:val="21"/>
              </w:rPr>
              <w:t>10分。</w:t>
            </w:r>
          </w:p>
          <w:p>
            <w:pPr>
              <w:rPr>
                <w:rFonts w:ascii="宋体" w:hAnsi="宋体" w:eastAsia="宋体" w:cs="Arial"/>
                <w:bCs/>
                <w:sz w:val="21"/>
                <w:szCs w:val="21"/>
              </w:rPr>
            </w:pPr>
            <w:r>
              <w:rPr>
                <w:rFonts w:ascii="宋体" w:hAnsi="宋体" w:eastAsia="宋体" w:cs="Arial"/>
                <w:bCs/>
                <w:sz w:val="21"/>
                <w:szCs w:val="21"/>
              </w:rPr>
              <w:t>2.</w:t>
            </w:r>
            <w:r>
              <w:rPr>
                <w:rFonts w:hint="eastAsia" w:ascii="宋体" w:hAnsi="宋体" w:eastAsia="宋体" w:cs="Arial"/>
                <w:bCs/>
                <w:sz w:val="21"/>
                <w:szCs w:val="21"/>
              </w:rPr>
              <w:t>免费质保期1年不得分，每多一年得</w:t>
            </w:r>
            <w:r>
              <w:rPr>
                <w:rFonts w:ascii="宋体" w:hAnsi="宋体" w:eastAsia="宋体" w:cs="Arial"/>
                <w:bCs/>
                <w:sz w:val="21"/>
                <w:szCs w:val="21"/>
              </w:rPr>
              <w:t>2.</w:t>
            </w:r>
            <w:r>
              <w:rPr>
                <w:rFonts w:hint="eastAsia" w:ascii="宋体" w:hAnsi="宋体" w:eastAsia="宋体" w:cs="Arial"/>
                <w:bCs/>
                <w:sz w:val="21"/>
                <w:szCs w:val="21"/>
              </w:rPr>
              <w:t>5分，最高不超过</w:t>
            </w:r>
            <w:r>
              <w:rPr>
                <w:rFonts w:ascii="宋体" w:hAnsi="宋体" w:eastAsia="宋体" w:cs="Arial"/>
                <w:bCs/>
                <w:sz w:val="21"/>
                <w:szCs w:val="21"/>
              </w:rPr>
              <w:t>5</w:t>
            </w:r>
            <w:r>
              <w:rPr>
                <w:rFonts w:hint="eastAsia" w:ascii="宋体" w:hAnsi="宋体" w:eastAsia="宋体" w:cs="Arial"/>
                <w:bCs/>
                <w:sz w:val="21"/>
                <w:szCs w:val="21"/>
              </w:rPr>
              <w:t>分。</w:t>
            </w:r>
          </w:p>
        </w:tc>
      </w:tr>
    </w:tbl>
    <w:p>
      <w:pPr>
        <w:spacing w:line="360" w:lineRule="auto"/>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bookmarkEnd w:id="165"/>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955039"/>
      <w:bookmarkEnd w:id="168"/>
      <w:bookmarkStart w:id="169" w:name="_Hlt26671244"/>
      <w:bookmarkEnd w:id="169"/>
      <w:bookmarkStart w:id="170" w:name="_Toc120614282"/>
      <w:bookmarkStart w:id="171" w:name="_Toc26554094"/>
      <w:bookmarkStart w:id="172" w:name="_Toc49090576"/>
    </w:p>
    <w:p>
      <w:pPr>
        <w:jc w:val="center"/>
        <w:rPr>
          <w:rFonts w:ascii="宋体" w:hAnsi="宋体"/>
          <w:b/>
          <w:sz w:val="72"/>
        </w:rPr>
      </w:pPr>
      <w:r>
        <w:rPr>
          <w:rFonts w:hint="eastAsia" w:ascii="宋体" w:hAnsi="宋体"/>
          <w:b/>
          <w:sz w:val="72"/>
        </w:rPr>
        <w:t>投  标  文  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 目 名 称：</w:t>
      </w:r>
    </w:p>
    <w:p>
      <w:pPr>
        <w:ind w:firstLine="1081" w:firstLineChars="300"/>
        <w:rPr>
          <w:rFonts w:ascii="宋体" w:hAnsi="宋体"/>
          <w:b/>
          <w:sz w:val="36"/>
          <w:u w:val="single"/>
        </w:rPr>
      </w:pPr>
      <w:r>
        <w:rPr>
          <w:rFonts w:hint="eastAsia" w:ascii="宋体" w:hAnsi="宋体"/>
          <w:b/>
          <w:sz w:val="36"/>
        </w:rPr>
        <w:t>招 标 编 号：</w:t>
      </w:r>
    </w:p>
    <w:p>
      <w:pPr>
        <w:rPr>
          <w:rFonts w:ascii="宋体" w:hAnsi="宋体"/>
          <w:b/>
          <w:sz w:val="36"/>
          <w:u w:val="single"/>
        </w:rPr>
      </w:pPr>
      <w:r>
        <w:rPr>
          <w:rFonts w:hint="eastAsia" w:ascii="宋体" w:hAnsi="宋体"/>
          <w:b/>
          <w:sz w:val="36"/>
        </w:rPr>
        <w:t xml:space="preserve">      投标人名称 ：</w:t>
      </w:r>
    </w:p>
    <w:p>
      <w:pPr>
        <w:rPr>
          <w:rFonts w:ascii="宋体" w:hAnsi="宋体"/>
          <w:b/>
          <w:sz w:val="36"/>
        </w:rPr>
      </w:pPr>
      <w:r>
        <w:rPr>
          <w:rFonts w:hint="eastAsia" w:ascii="宋体" w:hAnsi="宋体"/>
          <w:b/>
          <w:sz w:val="36"/>
        </w:rPr>
        <w:t xml:space="preserve">      日      期 ：</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    _   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 xml:space="preserve">___  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671380"/>
      <w:bookmarkEnd w:id="175"/>
      <w:bookmarkStart w:id="176" w:name="_Hlt26955070"/>
      <w:bookmarkEnd w:id="176"/>
      <w:bookmarkStart w:id="177" w:name="_格式3__银行出具的资信证明"/>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21"/>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90%</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相应金额发票</w:t>
      </w:r>
      <w:r>
        <w:rPr>
          <w:rFonts w:hint="eastAsia" w:asciiTheme="minorEastAsia" w:hAnsiTheme="minorEastAsia" w:eastAsiaTheme="minorEastAsia"/>
          <w:sz w:val="24"/>
          <w:szCs w:val="28"/>
        </w:rPr>
        <w:t>；</w:t>
      </w:r>
      <w:r>
        <w:rPr>
          <w:rFonts w:asciiTheme="minorEastAsia" w:hAnsiTheme="minorEastAsia" w:eastAsiaTheme="minorEastAsia"/>
          <w:sz w:val="24"/>
          <w:szCs w:val="28"/>
        </w:rPr>
        <w:t>自验收合格日起，</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正常使用满一年后</w:t>
      </w:r>
      <w:r>
        <w:rPr>
          <w:rFonts w:hint="eastAsia" w:asciiTheme="minorEastAsia" w:hAnsiTheme="minorEastAsia" w:eastAsiaTheme="minorEastAsia"/>
          <w:sz w:val="24"/>
          <w:szCs w:val="28"/>
        </w:rPr>
        <w:t>的</w:t>
      </w:r>
      <w:r>
        <w:rPr>
          <w:rFonts w:asciiTheme="minorEastAsia" w:hAnsiTheme="minorEastAsia" w:eastAsiaTheme="minorEastAsia"/>
          <w:sz w:val="24"/>
          <w:szCs w:val="28"/>
        </w:rPr>
        <w:t>一周内</w:t>
      </w:r>
      <w:r>
        <w:rPr>
          <w:rFonts w:hint="eastAsia" w:asciiTheme="minorEastAsia" w:hAnsiTheme="minorEastAsia" w:eastAsiaTheme="minorEastAsia"/>
          <w:sz w:val="24"/>
          <w:szCs w:val="28"/>
        </w:rPr>
        <w:t>，</w:t>
      </w:r>
      <w:r>
        <w:rPr>
          <w:rFonts w:asciiTheme="minorEastAsia" w:hAnsiTheme="minorEastAsia" w:eastAsiaTheme="minorEastAsia"/>
          <w:sz w:val="24"/>
          <w:szCs w:val="28"/>
        </w:rPr>
        <w:t>支付</w:t>
      </w:r>
      <w:r>
        <w:rPr>
          <w:rFonts w:hint="eastAsia" w:asciiTheme="minorEastAsia" w:hAnsiTheme="minorEastAsia" w:eastAsiaTheme="minorEastAsia"/>
          <w:sz w:val="24"/>
          <w:szCs w:val="28"/>
        </w:rPr>
        <w:t>剩余</w:t>
      </w:r>
      <w:r>
        <w:rPr>
          <w:rFonts w:asciiTheme="minorEastAsia" w:hAnsiTheme="minorEastAsia" w:eastAsiaTheme="minorEastAsia"/>
          <w:sz w:val="24"/>
          <w:szCs w:val="28"/>
        </w:rPr>
        <w:t>合同</w:t>
      </w:r>
      <w:r>
        <w:rPr>
          <w:rFonts w:hint="eastAsia" w:asciiTheme="minorEastAsia" w:hAnsiTheme="minorEastAsia" w:eastAsiaTheme="minorEastAsia"/>
          <w:sz w:val="24"/>
          <w:szCs w:val="28"/>
        </w:rPr>
        <w:t>总金额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10%</w:t>
      </w:r>
      <w:r>
        <w:rPr>
          <w:rFonts w:hint="eastAsia" w:asciiTheme="minorEastAsia" w:hAnsiTheme="minorEastAsia" w:eastAsiaTheme="minorEastAsia"/>
          <w:b/>
          <w:color w:val="FF0000"/>
          <w:sz w:val="24"/>
          <w:szCs w:val="28"/>
        </w:rPr>
        <w:t>（无息）</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00" w:lineRule="auto"/>
        <w:rPr>
          <w:rFonts w:asciiTheme="minorEastAsia" w:hAnsiTheme="minorEastAsia" w:eastAsiaTheme="minorEastAsia"/>
          <w:sz w:val="28"/>
          <w:szCs w:val="28"/>
        </w:rPr>
      </w:pPr>
      <w:r>
        <w:rPr>
          <w:rFonts w:hint="eastAsia" w:asciiTheme="minorEastAsia" w:hAnsiTheme="minorEastAsia" w:eastAsiaTheme="minorEastAsia"/>
          <w:sz w:val="24"/>
          <w:szCs w:val="28"/>
        </w:rPr>
        <w:t>合同签订时间：</w:t>
      </w:r>
      <w:r>
        <w:rPr>
          <w:rFonts w:asciiTheme="minorEastAsia" w:hAnsiTheme="minorEastAsia" w:eastAsiaTheme="minorEastAsia"/>
          <w:sz w:val="24"/>
          <w:szCs w:val="28"/>
        </w:rPr>
        <w:t xml:space="preserve">     年    月    日</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27</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6B823796"/>
    <w:multiLevelType w:val="multilevel"/>
    <w:tmpl w:val="6B82379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26CA5"/>
    <w:rsid w:val="00045531"/>
    <w:rsid w:val="000458DB"/>
    <w:rsid w:val="00046D67"/>
    <w:rsid w:val="000508AB"/>
    <w:rsid w:val="00050D10"/>
    <w:rsid w:val="00053D2D"/>
    <w:rsid w:val="00053D8C"/>
    <w:rsid w:val="0005451A"/>
    <w:rsid w:val="00063E5E"/>
    <w:rsid w:val="00070968"/>
    <w:rsid w:val="00075408"/>
    <w:rsid w:val="0008466D"/>
    <w:rsid w:val="00086A59"/>
    <w:rsid w:val="00090C36"/>
    <w:rsid w:val="0009546A"/>
    <w:rsid w:val="000A4EF6"/>
    <w:rsid w:val="000B08EC"/>
    <w:rsid w:val="000B0E83"/>
    <w:rsid w:val="000B538B"/>
    <w:rsid w:val="000C3635"/>
    <w:rsid w:val="000C6FE5"/>
    <w:rsid w:val="000C7C51"/>
    <w:rsid w:val="000D0163"/>
    <w:rsid w:val="000F4CEA"/>
    <w:rsid w:val="00100D01"/>
    <w:rsid w:val="00101A8A"/>
    <w:rsid w:val="0012092A"/>
    <w:rsid w:val="001225B3"/>
    <w:rsid w:val="00124A3C"/>
    <w:rsid w:val="00125C10"/>
    <w:rsid w:val="00141840"/>
    <w:rsid w:val="0016026B"/>
    <w:rsid w:val="00160A9B"/>
    <w:rsid w:val="00166953"/>
    <w:rsid w:val="00167738"/>
    <w:rsid w:val="00170D4A"/>
    <w:rsid w:val="0018443B"/>
    <w:rsid w:val="00193521"/>
    <w:rsid w:val="001A049C"/>
    <w:rsid w:val="001B6A78"/>
    <w:rsid w:val="001C20DD"/>
    <w:rsid w:val="001C2E89"/>
    <w:rsid w:val="001C4B26"/>
    <w:rsid w:val="001C64AC"/>
    <w:rsid w:val="001D0768"/>
    <w:rsid w:val="001D281C"/>
    <w:rsid w:val="001D5A6A"/>
    <w:rsid w:val="001E030A"/>
    <w:rsid w:val="001E1FD2"/>
    <w:rsid w:val="001E4020"/>
    <w:rsid w:val="001E73B5"/>
    <w:rsid w:val="001F4F63"/>
    <w:rsid w:val="0020432E"/>
    <w:rsid w:val="00205CBE"/>
    <w:rsid w:val="002070F5"/>
    <w:rsid w:val="00232127"/>
    <w:rsid w:val="002327D4"/>
    <w:rsid w:val="00244DA0"/>
    <w:rsid w:val="0025535E"/>
    <w:rsid w:val="00266C11"/>
    <w:rsid w:val="00272CB4"/>
    <w:rsid w:val="00295368"/>
    <w:rsid w:val="002A4DD3"/>
    <w:rsid w:val="002D2055"/>
    <w:rsid w:val="002E0FA7"/>
    <w:rsid w:val="002F20E4"/>
    <w:rsid w:val="002F225B"/>
    <w:rsid w:val="002F6027"/>
    <w:rsid w:val="00300F88"/>
    <w:rsid w:val="00304B4B"/>
    <w:rsid w:val="00306735"/>
    <w:rsid w:val="0031200D"/>
    <w:rsid w:val="0031681A"/>
    <w:rsid w:val="00323B43"/>
    <w:rsid w:val="0032616D"/>
    <w:rsid w:val="00327947"/>
    <w:rsid w:val="00336542"/>
    <w:rsid w:val="00341D73"/>
    <w:rsid w:val="00344696"/>
    <w:rsid w:val="003525A5"/>
    <w:rsid w:val="0036460C"/>
    <w:rsid w:val="00365285"/>
    <w:rsid w:val="0037490B"/>
    <w:rsid w:val="0038270D"/>
    <w:rsid w:val="00397BA9"/>
    <w:rsid w:val="003B1427"/>
    <w:rsid w:val="003B2DF7"/>
    <w:rsid w:val="003B3CF8"/>
    <w:rsid w:val="003D2715"/>
    <w:rsid w:val="003D37D8"/>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59E6"/>
    <w:rsid w:val="0044705E"/>
    <w:rsid w:val="00477C2E"/>
    <w:rsid w:val="004808C6"/>
    <w:rsid w:val="004A4F2D"/>
    <w:rsid w:val="004E0EEC"/>
    <w:rsid w:val="004E3402"/>
    <w:rsid w:val="004F06AD"/>
    <w:rsid w:val="004F54A0"/>
    <w:rsid w:val="004F5C9E"/>
    <w:rsid w:val="004F7103"/>
    <w:rsid w:val="005129DB"/>
    <w:rsid w:val="00523B5F"/>
    <w:rsid w:val="005253AD"/>
    <w:rsid w:val="00557F99"/>
    <w:rsid w:val="0057236C"/>
    <w:rsid w:val="00575FC2"/>
    <w:rsid w:val="0058115B"/>
    <w:rsid w:val="00582807"/>
    <w:rsid w:val="00582977"/>
    <w:rsid w:val="005866DD"/>
    <w:rsid w:val="00590D7C"/>
    <w:rsid w:val="0059317B"/>
    <w:rsid w:val="00596F67"/>
    <w:rsid w:val="00597365"/>
    <w:rsid w:val="005B00B9"/>
    <w:rsid w:val="005B44B4"/>
    <w:rsid w:val="005C005E"/>
    <w:rsid w:val="005C66D3"/>
    <w:rsid w:val="005D2E1F"/>
    <w:rsid w:val="005F103C"/>
    <w:rsid w:val="0060453F"/>
    <w:rsid w:val="006045FD"/>
    <w:rsid w:val="006073C6"/>
    <w:rsid w:val="006160DD"/>
    <w:rsid w:val="006218B4"/>
    <w:rsid w:val="006411FE"/>
    <w:rsid w:val="006600C0"/>
    <w:rsid w:val="00663D89"/>
    <w:rsid w:val="00681F07"/>
    <w:rsid w:val="00695BF8"/>
    <w:rsid w:val="006977C3"/>
    <w:rsid w:val="006A096A"/>
    <w:rsid w:val="006B0EB6"/>
    <w:rsid w:val="006B4013"/>
    <w:rsid w:val="006B6C40"/>
    <w:rsid w:val="006C6B1D"/>
    <w:rsid w:val="006D1B0D"/>
    <w:rsid w:val="006E1848"/>
    <w:rsid w:val="006F283A"/>
    <w:rsid w:val="00705F93"/>
    <w:rsid w:val="00710E53"/>
    <w:rsid w:val="0071106B"/>
    <w:rsid w:val="007178CD"/>
    <w:rsid w:val="00722B49"/>
    <w:rsid w:val="00725153"/>
    <w:rsid w:val="00731E48"/>
    <w:rsid w:val="0074740B"/>
    <w:rsid w:val="00747556"/>
    <w:rsid w:val="007543D9"/>
    <w:rsid w:val="00754FBF"/>
    <w:rsid w:val="00755373"/>
    <w:rsid w:val="00791FC9"/>
    <w:rsid w:val="00792482"/>
    <w:rsid w:val="0079316D"/>
    <w:rsid w:val="007947E9"/>
    <w:rsid w:val="007A58F8"/>
    <w:rsid w:val="007E0F09"/>
    <w:rsid w:val="007E2F52"/>
    <w:rsid w:val="007E466E"/>
    <w:rsid w:val="007E5C50"/>
    <w:rsid w:val="007F1718"/>
    <w:rsid w:val="007F18E6"/>
    <w:rsid w:val="007F226B"/>
    <w:rsid w:val="008324FE"/>
    <w:rsid w:val="0083334C"/>
    <w:rsid w:val="00833AE1"/>
    <w:rsid w:val="00834323"/>
    <w:rsid w:val="00841379"/>
    <w:rsid w:val="0085068C"/>
    <w:rsid w:val="00853556"/>
    <w:rsid w:val="008545FA"/>
    <w:rsid w:val="00863149"/>
    <w:rsid w:val="008725B3"/>
    <w:rsid w:val="00881E8B"/>
    <w:rsid w:val="00891674"/>
    <w:rsid w:val="008940B1"/>
    <w:rsid w:val="008B154E"/>
    <w:rsid w:val="008B7726"/>
    <w:rsid w:val="008E0843"/>
    <w:rsid w:val="008E6860"/>
    <w:rsid w:val="008F3684"/>
    <w:rsid w:val="008F5952"/>
    <w:rsid w:val="008F6FC4"/>
    <w:rsid w:val="008F7663"/>
    <w:rsid w:val="00901E4A"/>
    <w:rsid w:val="009124F7"/>
    <w:rsid w:val="00913A47"/>
    <w:rsid w:val="00914B43"/>
    <w:rsid w:val="00917C9A"/>
    <w:rsid w:val="00922C31"/>
    <w:rsid w:val="009330FF"/>
    <w:rsid w:val="00937A6C"/>
    <w:rsid w:val="00944F3E"/>
    <w:rsid w:val="00954E6B"/>
    <w:rsid w:val="009569A2"/>
    <w:rsid w:val="00982CE2"/>
    <w:rsid w:val="00985BBC"/>
    <w:rsid w:val="00994DC6"/>
    <w:rsid w:val="0099642C"/>
    <w:rsid w:val="009A7A76"/>
    <w:rsid w:val="009B386E"/>
    <w:rsid w:val="009B43A1"/>
    <w:rsid w:val="009B4528"/>
    <w:rsid w:val="009B498C"/>
    <w:rsid w:val="009C30A7"/>
    <w:rsid w:val="009C69CD"/>
    <w:rsid w:val="009D140B"/>
    <w:rsid w:val="009D6181"/>
    <w:rsid w:val="009E1102"/>
    <w:rsid w:val="009E4FC4"/>
    <w:rsid w:val="009E5457"/>
    <w:rsid w:val="009E5541"/>
    <w:rsid w:val="009F148D"/>
    <w:rsid w:val="009F2B90"/>
    <w:rsid w:val="009F453D"/>
    <w:rsid w:val="00A02CA7"/>
    <w:rsid w:val="00A157F0"/>
    <w:rsid w:val="00A25E57"/>
    <w:rsid w:val="00A4464F"/>
    <w:rsid w:val="00A46E8D"/>
    <w:rsid w:val="00A478D2"/>
    <w:rsid w:val="00A57EFD"/>
    <w:rsid w:val="00A67624"/>
    <w:rsid w:val="00A719C8"/>
    <w:rsid w:val="00A754E0"/>
    <w:rsid w:val="00A84971"/>
    <w:rsid w:val="00AA10B3"/>
    <w:rsid w:val="00AA278C"/>
    <w:rsid w:val="00AB3CFF"/>
    <w:rsid w:val="00AC2325"/>
    <w:rsid w:val="00AC3CE4"/>
    <w:rsid w:val="00AD713B"/>
    <w:rsid w:val="00AE5082"/>
    <w:rsid w:val="00AE6332"/>
    <w:rsid w:val="00AF0E8F"/>
    <w:rsid w:val="00AF3ACC"/>
    <w:rsid w:val="00AF539E"/>
    <w:rsid w:val="00B06748"/>
    <w:rsid w:val="00B10D4E"/>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93218"/>
    <w:rsid w:val="00B9381E"/>
    <w:rsid w:val="00B9568F"/>
    <w:rsid w:val="00B97749"/>
    <w:rsid w:val="00B97E23"/>
    <w:rsid w:val="00BA78DC"/>
    <w:rsid w:val="00BB2734"/>
    <w:rsid w:val="00BB3582"/>
    <w:rsid w:val="00BC5C79"/>
    <w:rsid w:val="00BC7A5C"/>
    <w:rsid w:val="00BD02B4"/>
    <w:rsid w:val="00BD2AED"/>
    <w:rsid w:val="00BD6A49"/>
    <w:rsid w:val="00BD6FBD"/>
    <w:rsid w:val="00BD77ED"/>
    <w:rsid w:val="00BE7284"/>
    <w:rsid w:val="00BF363B"/>
    <w:rsid w:val="00BF3F02"/>
    <w:rsid w:val="00BF3F2A"/>
    <w:rsid w:val="00BF688E"/>
    <w:rsid w:val="00BF6B18"/>
    <w:rsid w:val="00C00BC7"/>
    <w:rsid w:val="00C12969"/>
    <w:rsid w:val="00C13584"/>
    <w:rsid w:val="00C30C20"/>
    <w:rsid w:val="00C40E65"/>
    <w:rsid w:val="00C541CB"/>
    <w:rsid w:val="00C55166"/>
    <w:rsid w:val="00C76558"/>
    <w:rsid w:val="00C86FD4"/>
    <w:rsid w:val="00C96654"/>
    <w:rsid w:val="00CB2130"/>
    <w:rsid w:val="00CB3C11"/>
    <w:rsid w:val="00CD4D83"/>
    <w:rsid w:val="00D1587C"/>
    <w:rsid w:val="00D278D7"/>
    <w:rsid w:val="00D31D50"/>
    <w:rsid w:val="00D4211D"/>
    <w:rsid w:val="00D5054E"/>
    <w:rsid w:val="00D53633"/>
    <w:rsid w:val="00D56CB6"/>
    <w:rsid w:val="00D61AE7"/>
    <w:rsid w:val="00D634CC"/>
    <w:rsid w:val="00D77EC9"/>
    <w:rsid w:val="00D81D23"/>
    <w:rsid w:val="00D9005C"/>
    <w:rsid w:val="00DA1746"/>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75074"/>
    <w:rsid w:val="00E81B75"/>
    <w:rsid w:val="00E85DDD"/>
    <w:rsid w:val="00E95E13"/>
    <w:rsid w:val="00EB0C34"/>
    <w:rsid w:val="00EB187E"/>
    <w:rsid w:val="00EC3C23"/>
    <w:rsid w:val="00ED0853"/>
    <w:rsid w:val="00EE2837"/>
    <w:rsid w:val="00EE4B82"/>
    <w:rsid w:val="00EE7046"/>
    <w:rsid w:val="00EF69B3"/>
    <w:rsid w:val="00F04061"/>
    <w:rsid w:val="00F14151"/>
    <w:rsid w:val="00F152B0"/>
    <w:rsid w:val="00F212D3"/>
    <w:rsid w:val="00F30A36"/>
    <w:rsid w:val="00F34B4A"/>
    <w:rsid w:val="00F34DF9"/>
    <w:rsid w:val="00F4455E"/>
    <w:rsid w:val="00F4611B"/>
    <w:rsid w:val="00F5231B"/>
    <w:rsid w:val="00F64CC8"/>
    <w:rsid w:val="00F8761F"/>
    <w:rsid w:val="00F94053"/>
    <w:rsid w:val="00F952C7"/>
    <w:rsid w:val="00F96BF5"/>
    <w:rsid w:val="00FA1FA5"/>
    <w:rsid w:val="00FA4F5F"/>
    <w:rsid w:val="00FA7B45"/>
    <w:rsid w:val="00FB608D"/>
    <w:rsid w:val="00FC0456"/>
    <w:rsid w:val="00FC3104"/>
    <w:rsid w:val="00FF44F0"/>
    <w:rsid w:val="00FF7A26"/>
    <w:rsid w:val="03D54703"/>
    <w:rsid w:val="065F647F"/>
    <w:rsid w:val="0E6459AC"/>
    <w:rsid w:val="10A808DF"/>
    <w:rsid w:val="170F32ED"/>
    <w:rsid w:val="19486A1E"/>
    <w:rsid w:val="1A65687E"/>
    <w:rsid w:val="2DD70DDB"/>
    <w:rsid w:val="30890D7E"/>
    <w:rsid w:val="32B35CD9"/>
    <w:rsid w:val="34B70798"/>
    <w:rsid w:val="39281B2C"/>
    <w:rsid w:val="39B008E8"/>
    <w:rsid w:val="3A7B174A"/>
    <w:rsid w:val="48383A2B"/>
    <w:rsid w:val="48ED792F"/>
    <w:rsid w:val="51E92D55"/>
    <w:rsid w:val="537728CA"/>
    <w:rsid w:val="55D23955"/>
    <w:rsid w:val="58AD3B49"/>
    <w:rsid w:val="5B400B4B"/>
    <w:rsid w:val="627E6AC4"/>
    <w:rsid w:val="6B460E9E"/>
    <w:rsid w:val="6C241555"/>
    <w:rsid w:val="70E3431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qFormat/>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qFormat/>
    <w:uiPriority w:val="99"/>
    <w:rPr>
      <w:b/>
      <w:bCs/>
    </w:rPr>
  </w:style>
  <w:style w:type="paragraph" w:styleId="8">
    <w:name w:val="annotation text"/>
    <w:basedOn w:val="1"/>
    <w:link w:val="45"/>
    <w:semiHidden/>
    <w:unhideWhenUsed/>
    <w:qFormat/>
    <w:uiPriority w:val="99"/>
  </w:style>
  <w:style w:type="paragraph" w:styleId="9">
    <w:name w:val="Body Text"/>
    <w:basedOn w:val="1"/>
    <w:link w:val="43"/>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7"/>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qFormat/>
    <w:uiPriority w:val="99"/>
    <w:pPr>
      <w:spacing w:after="0"/>
    </w:pPr>
    <w:rPr>
      <w:sz w:val="18"/>
      <w:szCs w:val="18"/>
    </w:rPr>
  </w:style>
  <w:style w:type="paragraph" w:styleId="12">
    <w:name w:val="footer"/>
    <w:basedOn w:val="1"/>
    <w:link w:val="23"/>
    <w:unhideWhenUsed/>
    <w:qFormat/>
    <w:uiPriority w:val="99"/>
    <w:pPr>
      <w:tabs>
        <w:tab w:val="center" w:pos="4153"/>
        <w:tab w:val="right" w:pos="8306"/>
      </w:tabs>
    </w:pPr>
    <w:rPr>
      <w:sz w:val="18"/>
      <w:szCs w:val="18"/>
    </w:rPr>
  </w:style>
  <w:style w:type="paragraph" w:styleId="13">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34"/>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qFormat/>
    <w:uiPriority w:val="99"/>
    <w:rPr>
      <w:sz w:val="21"/>
      <w:szCs w:val="21"/>
    </w:rPr>
  </w:style>
  <w:style w:type="character" w:customStyle="1" w:styleId="22">
    <w:name w:val="页眉 Char"/>
    <w:basedOn w:val="17"/>
    <w:link w:val="13"/>
    <w:qFormat/>
    <w:uiPriority w:val="99"/>
    <w:rPr>
      <w:rFonts w:ascii="Tahoma" w:hAnsi="Tahoma"/>
      <w:sz w:val="18"/>
      <w:szCs w:val="18"/>
    </w:rPr>
  </w:style>
  <w:style w:type="character" w:customStyle="1" w:styleId="23">
    <w:name w:val="页脚 Char"/>
    <w:basedOn w:val="17"/>
    <w:link w:val="12"/>
    <w:qFormat/>
    <w:uiPriority w:val="99"/>
    <w:rPr>
      <w:rFonts w:ascii="Tahoma" w:hAnsi="Tahoma"/>
      <w:sz w:val="18"/>
      <w:szCs w:val="18"/>
    </w:rPr>
  </w:style>
  <w:style w:type="character" w:customStyle="1" w:styleId="24">
    <w:name w:val="标题 1 Char"/>
    <w:basedOn w:val="17"/>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7"/>
    <w:link w:val="4"/>
    <w:qFormat/>
    <w:uiPriority w:val="0"/>
    <w:rPr>
      <w:rFonts w:ascii="Times New Roman" w:hAnsi="Times New Roman" w:eastAsia="宋体" w:cs="Times New Roman"/>
      <w:b/>
      <w:bCs/>
      <w:kern w:val="2"/>
      <w:sz w:val="32"/>
      <w:szCs w:val="32"/>
    </w:rPr>
  </w:style>
  <w:style w:type="character" w:customStyle="1" w:styleId="28">
    <w:name w:val="标题 4 Char"/>
    <w:basedOn w:val="17"/>
    <w:link w:val="6"/>
    <w:qFormat/>
    <w:uiPriority w:val="9"/>
    <w:rPr>
      <w:rFonts w:ascii="Arial" w:hAnsi="Arial" w:eastAsia="黑体" w:cs="Arial"/>
      <w:b/>
      <w:bCs/>
      <w:kern w:val="2"/>
      <w:sz w:val="28"/>
      <w:szCs w:val="28"/>
    </w:rPr>
  </w:style>
  <w:style w:type="character" w:customStyle="1" w:styleId="29">
    <w:name w:val="标题 Char1"/>
    <w:basedOn w:val="17"/>
    <w:link w:val="16"/>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7"/>
    <w:link w:val="16"/>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10"/>
    <w:qFormat/>
    <w:uiPriority w:val="0"/>
    <w:rPr>
      <w:rFonts w:ascii="宋体" w:hAnsi="Courier New" w:cs="Courier New"/>
      <w:kern w:val="2"/>
      <w:sz w:val="21"/>
      <w:szCs w:val="21"/>
    </w:rPr>
  </w:style>
  <w:style w:type="character" w:customStyle="1" w:styleId="37">
    <w:name w:val="纯文本 Char1"/>
    <w:basedOn w:val="17"/>
    <w:link w:val="10"/>
    <w:semiHidden/>
    <w:qFormat/>
    <w:uiPriority w:val="99"/>
    <w:rPr>
      <w:rFonts w:ascii="宋体" w:hAnsi="Courier New" w:eastAsia="宋体" w:cs="Courier New"/>
      <w:sz w:val="21"/>
      <w:szCs w:val="21"/>
    </w:rPr>
  </w:style>
  <w:style w:type="character" w:customStyle="1" w:styleId="38">
    <w:name w:val="标题 2 Char"/>
    <w:basedOn w:val="17"/>
    <w:link w:val="3"/>
    <w:semiHidden/>
    <w:qFormat/>
    <w:uiPriority w:val="9"/>
    <w:rPr>
      <w:rFonts w:asciiTheme="majorHAnsi" w:hAnsiTheme="majorHAnsi" w:eastAsiaTheme="majorEastAsia" w:cstheme="majorBidi"/>
      <w:b/>
      <w:bCs/>
      <w:sz w:val="32"/>
      <w:szCs w:val="32"/>
    </w:rPr>
  </w:style>
  <w:style w:type="character" w:customStyle="1" w:styleId="39">
    <w:name w:val="正文文本 Char"/>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link w:val="9"/>
    <w:semiHidden/>
    <w:qFormat/>
    <w:uiPriority w:val="99"/>
    <w:rPr>
      <w:rFonts w:ascii="Tahoma" w:hAnsi="Tahoma"/>
    </w:rPr>
  </w:style>
  <w:style w:type="character" w:customStyle="1" w:styleId="44">
    <w:name w:val="批注框文本 Char"/>
    <w:basedOn w:val="17"/>
    <w:link w:val="11"/>
    <w:semiHidden/>
    <w:qFormat/>
    <w:uiPriority w:val="99"/>
    <w:rPr>
      <w:rFonts w:ascii="Tahoma" w:hAnsi="Tahoma"/>
      <w:sz w:val="18"/>
      <w:szCs w:val="18"/>
    </w:rPr>
  </w:style>
  <w:style w:type="character" w:customStyle="1" w:styleId="45">
    <w:name w:val="批注文字 Char"/>
    <w:basedOn w:val="17"/>
    <w:link w:val="8"/>
    <w:semiHidden/>
    <w:qFormat/>
    <w:uiPriority w:val="99"/>
    <w:rPr>
      <w:rFonts w:ascii="Tahoma" w:hAnsi="Tahoma"/>
    </w:rPr>
  </w:style>
  <w:style w:type="character" w:customStyle="1" w:styleId="46">
    <w:name w:val="批注主题 Char"/>
    <w:basedOn w:val="45"/>
    <w:link w:val="7"/>
    <w:semiHidden/>
    <w:uiPriority w:val="99"/>
    <w:rPr>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AF37F9-0AC5-4E6E-BC09-DCD7423DF8EC}">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29</Pages>
  <Words>1659</Words>
  <Characters>9460</Characters>
  <Lines>78</Lines>
  <Paragraphs>22</Paragraphs>
  <TotalTime>2</TotalTime>
  <ScaleCrop>false</ScaleCrop>
  <LinksUpToDate>false</LinksUpToDate>
  <CharactersWithSpaces>11097</CharactersWithSpaces>
  <Application>WPS Office_10.1.0.7566_F1E327BC-269C-435d-A152-05C5408002CA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chenle</dc:creator>
  <cp:lastModifiedBy>lenovo</cp:lastModifiedBy>
  <dcterms:modified xsi:type="dcterms:W3CDTF">2018-11-08T07:09:59Z</dcterms:modified>
  <cp:revision>648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