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color w:val="auto"/>
          <w:sz w:val="32"/>
          <w:szCs w:val="32"/>
        </w:rPr>
        <w:t>荧光分光光度计超声联用仪器</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yellow"/>
          <w:lang w:eastAsia="zh-CN"/>
        </w:rPr>
      </w:pPr>
      <w:r>
        <w:rPr>
          <w:rFonts w:hint="eastAsia"/>
          <w:b/>
          <w:bCs/>
          <w:sz w:val="32"/>
        </w:rPr>
        <w:t>项目编号：</w:t>
      </w:r>
      <w:r>
        <w:rPr>
          <w:rFonts w:hint="eastAsia"/>
          <w:b/>
          <w:bCs/>
          <w:sz w:val="32"/>
          <w:highlight w:val="none"/>
        </w:rPr>
        <w:t>njmu-201812</w:t>
      </w:r>
      <w:r>
        <w:rPr>
          <w:rFonts w:hint="eastAsia"/>
          <w:b/>
          <w:bCs/>
          <w:sz w:val="32"/>
          <w:highlight w:val="none"/>
          <w:lang w:val="en-US" w:eastAsia="zh-CN"/>
        </w:rPr>
        <w:t>21</w:t>
      </w:r>
      <w:r>
        <w:rPr>
          <w:rFonts w:hint="eastAsia"/>
          <w:b/>
          <w:bCs/>
          <w:sz w:val="32"/>
          <w:highlight w:val="none"/>
        </w:rPr>
        <w:t>-</w:t>
      </w:r>
      <w:r>
        <w:rPr>
          <w:rFonts w:hint="eastAsia"/>
          <w:b/>
          <w:bCs/>
          <w:sz w:val="32"/>
          <w:highlight w:val="none"/>
          <w:lang w:val="en-US" w:eastAsia="zh-CN"/>
        </w:rPr>
        <w:t>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color w:val="auto"/>
          <w:sz w:val="28"/>
          <w:szCs w:val="28"/>
          <w:u w:val="single"/>
        </w:rPr>
        <w:t>荧光分光光度计超声联用仪器</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color w:val="auto"/>
          <w:sz w:val="28"/>
          <w:szCs w:val="28"/>
        </w:rPr>
        <w:t>荧光分光光度计超声联用仪器</w:t>
      </w:r>
      <w:r>
        <w:rPr>
          <w:rFonts w:hint="eastAsia" w:asciiTheme="minorEastAsia" w:hAnsiTheme="minorEastAsia" w:eastAsiaTheme="minorEastAsia"/>
          <w:sz w:val="24"/>
          <w:szCs w:val="24"/>
        </w:rPr>
        <w:t>购置项目</w:t>
      </w:r>
    </w:p>
    <w:p>
      <w:pPr>
        <w:spacing w:before="120" w:beforeLines="50" w:after="12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njmu-201812</w:t>
      </w:r>
      <w:r>
        <w:rPr>
          <w:rFonts w:hint="eastAsia" w:asciiTheme="minorEastAsia" w:hAnsiTheme="minorEastAsia" w:eastAsiaTheme="minorEastAsia"/>
          <w:sz w:val="28"/>
          <w:szCs w:val="28"/>
          <w:highlight w:val="none"/>
          <w:lang w:val="en-US" w:eastAsia="zh-CN"/>
        </w:rPr>
        <w:t>21</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4</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:24万元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投标文件接收开始时间：2018年12月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投标文件接收截止时间：2018年12月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日上午9:15前（北京时间）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开标时间：2018年12月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项目需求方联系人：宋</w:t>
      </w:r>
      <w:r>
        <w:rPr>
          <w:rFonts w:hint="eastAsia" w:ascii="宋体" w:hAnsi="宋体" w:eastAsia="宋体" w:cs="Times New Roman"/>
          <w:sz w:val="24"/>
          <w:szCs w:val="24"/>
        </w:rPr>
        <w:t xml:space="preserve">老师       </w:t>
      </w:r>
      <w:r>
        <w:rPr>
          <w:rFonts w:hint="eastAsia" w:ascii="宋体" w:hAnsi="宋体" w:eastAsia="宋体" w:cs="Times New Roman"/>
          <w:sz w:val="24"/>
          <w:szCs w:val="24"/>
          <w:lang w:val="en-US" w:eastAsia="zh-CN"/>
        </w:rPr>
        <w:t xml:space="preserve">    </w:t>
      </w:r>
      <w:bookmarkStart w:id="180" w:name="_GoBack"/>
      <w:bookmarkEnd w:id="180"/>
      <w:r>
        <w:rPr>
          <w:rFonts w:hint="eastAsia" w:asciiTheme="minorEastAsia" w:hAnsiTheme="minorEastAsia" w:eastAsiaTheme="minorEastAsia"/>
          <w:sz w:val="24"/>
          <w:szCs w:val="24"/>
        </w:rPr>
        <w:t>电话：15250966526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739"/>
      <w:bookmarkEnd w:id="99"/>
      <w:bookmarkStart w:id="100" w:name="_Hlt26954850"/>
      <w:bookmarkEnd w:id="100"/>
      <w:bookmarkStart w:id="101" w:name="_Hlt26954852"/>
      <w:bookmarkEnd w:id="101"/>
      <w:bookmarkStart w:id="102" w:name="_Hlt2667048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cstheme="minorEastAsia"/>
          <w:sz w:val="28"/>
          <w:szCs w:val="28"/>
        </w:rPr>
      </w:pPr>
      <w:r>
        <w:rPr>
          <w:rFonts w:cs="Times New Roman" w:asciiTheme="minorEastAsia" w:hAnsiTheme="minorEastAsia" w:eastAsiaTheme="minorEastAsia"/>
          <w:kern w:val="2"/>
          <w:sz w:val="28"/>
          <w:szCs w:val="28"/>
        </w:rPr>
        <w:t>（一）</w:t>
      </w:r>
      <w:r>
        <w:rPr>
          <w:rFonts w:hint="eastAsia" w:cs="Times New Roman" w:asciiTheme="minorEastAsia" w:hAnsiTheme="minorEastAsia" w:eastAsiaTheme="minorEastAsia"/>
          <w:kern w:val="2"/>
          <w:sz w:val="28"/>
          <w:szCs w:val="28"/>
        </w:rPr>
        <w:t xml:space="preserve"> </w:t>
      </w:r>
      <w:r>
        <w:rPr>
          <w:rFonts w:hint="eastAsia" w:asciiTheme="minorEastAsia" w:hAnsiTheme="minorEastAsia" w:eastAsiaTheme="minorEastAsia" w:cstheme="minorEastAsia"/>
          <w:sz w:val="28"/>
          <w:szCs w:val="28"/>
        </w:rPr>
        <w:t>环境条件：电源电压：220V，50Hz</w:t>
      </w:r>
    </w:p>
    <w:p>
      <w:pPr>
        <w:spacing w:line="360" w:lineRule="auto"/>
        <w:ind w:firstLine="2800" w:firstLineChars="10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温度：15~35℃</w:t>
      </w:r>
    </w:p>
    <w:p>
      <w:pPr>
        <w:spacing w:line="360" w:lineRule="auto"/>
        <w:ind w:firstLine="2800" w:firstLineChars="10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相对湿度：45~80%</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1、主机功能要求：</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三维时间扫描、磷光、毫秒级磷光寿命；</w:t>
      </w:r>
    </w:p>
    <w:p>
      <w:pPr>
        <w:spacing w:line="360" w:lineRule="auto"/>
        <w:ind w:left="838" w:leftChars="38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可测荧光、化学/生物发光；三维扫描；波长扫描；时间扫描测量；定量分析；可连接积分球进行绝对量子产率测试；可升级进行单波长和双波长细胞内钙离子的测定。</w:t>
      </w:r>
    </w:p>
    <w:p>
      <w:pPr>
        <w:spacing w:line="360" w:lineRule="auto"/>
        <w:ind w:left="1000" w:leftChars="200" w:hanging="560" w:hanging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★1.3 仪器自带大样品仓盖：有接入口（带胶塞避光）且无需改造设备即可插入超声波探针，完成超声过程中的荧光测试（提供实际仓盖图）</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2、设备参数</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2.1测量波长范围（EX/EM）：200到900nm，零级光</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2.2光源：</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★2.2.1 150W 的连续氙灯光源</w:t>
      </w:r>
    </w:p>
    <w:p>
      <w:pPr>
        <w:spacing w:line="360" w:lineRule="auto"/>
        <w:ind w:left="420"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2.2.2 连续氙灯寿命≥</w:t>
      </w:r>
      <w:r>
        <w:rPr>
          <w:rFonts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t>00小时</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★2.3灵敏度：S/N ＞1</w:t>
      </w:r>
      <w:r>
        <w:rPr>
          <w:rFonts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t>000（RMS）背景噪声，S/N ＞1000（RMS）峰值噪声；使用水的拉曼峰，激发波长350nm，光谱带宽10nm。</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2.4光谱分辨率：1.0nm</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★2.5波长扫描速度：30到60000nm/min可调</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2.6波长驱动速度：≥</w:t>
      </w:r>
      <w:r>
        <w:rPr>
          <w:rFonts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t>0000nm/min</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color w:val="auto"/>
          <w:sz w:val="28"/>
          <w:szCs w:val="28"/>
        </w:rPr>
        <w:t>水平狭缝：</w:t>
      </w:r>
      <w:r>
        <w:rPr>
          <w:rFonts w:hint="eastAsia" w:asciiTheme="minorEastAsia" w:hAnsiTheme="minorEastAsia" w:eastAsiaTheme="minorEastAsia" w:cstheme="minorEastAsia"/>
          <w:sz w:val="28"/>
          <w:szCs w:val="28"/>
        </w:rPr>
        <w:t>标准荧光池最小样品量≤0.</w:t>
      </w:r>
      <w:r>
        <w:rPr>
          <w:rFonts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t>ml（使用标准10mm方形样品池）</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2.8线性动态范围：6个数量级，光电倍增管具备电压可调的自增益功能，从而可以测试高达六个数量级浓度范围的样品，未知样品可以不经稀释浓缩等前处理直接测试</w:t>
      </w:r>
    </w:p>
    <w:p>
      <w:pPr>
        <w:spacing w:line="360" w:lineRule="auto"/>
        <w:ind w:left="420"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2.9光谱通带：激发侧：1/2.5/5/10/20nm；发射侧：1/2.5/5/10/20nm</w:t>
      </w:r>
    </w:p>
    <w:p>
      <w:pPr>
        <w:spacing w:line="360" w:lineRule="auto"/>
        <w:ind w:firstLine="280" w:firstLine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3软件及数据处理：</w:t>
      </w:r>
    </w:p>
    <w:p>
      <w:pPr>
        <w:spacing w:line="360" w:lineRule="auto"/>
        <w:ind w:left="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主机由软件控制，在Windows环境工作。发光强度、激发和发射波长、光谱带宽均可由monitor 实时显示。光谱或时间数据均实时显示并可自动存盘。有对储存数据的算术运算功能，包括四则运算，平滑功能，1－4阶导数，求面积，求峰值等，可进行单波长和双波长细胞内钙离子的计算。</w:t>
      </w:r>
    </w:p>
    <w:p>
      <w:pPr>
        <w:spacing w:line="360" w:lineRule="auto"/>
        <w:ind w:firstLine="280" w:firstLineChars="1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4配置要求</w:t>
      </w:r>
    </w:p>
    <w:p>
      <w:pPr>
        <w:spacing w:line="360" w:lineRule="auto"/>
        <w:ind w:firstLine="420"/>
        <w:rPr>
          <w:rFonts w:ascii="宋体" w:hAnsi="宋体"/>
          <w:color w:val="auto"/>
        </w:rPr>
      </w:pPr>
      <w:r>
        <w:rPr>
          <w:rFonts w:hint="eastAsia" w:ascii="宋体" w:hAnsi="宋体"/>
          <w:color w:val="auto"/>
        </w:rPr>
        <w:t xml:space="preserve">荧光分光光度计主机                 </w:t>
      </w:r>
      <w:r>
        <w:rPr>
          <w:rFonts w:ascii="宋体" w:hAnsi="宋体"/>
          <w:color w:val="auto"/>
        </w:rPr>
        <w:t xml:space="preserve">               </w:t>
      </w:r>
      <w:r>
        <w:rPr>
          <w:rFonts w:hint="eastAsia" w:ascii="宋体" w:hAnsi="宋体"/>
          <w:color w:val="auto"/>
        </w:rPr>
        <w:t xml:space="preserve">  1台</w:t>
      </w:r>
    </w:p>
    <w:p>
      <w:pPr>
        <w:spacing w:line="360" w:lineRule="auto"/>
        <w:ind w:firstLine="420"/>
        <w:rPr>
          <w:rFonts w:ascii="宋体" w:hAnsi="宋体"/>
          <w:color w:val="auto"/>
        </w:rPr>
      </w:pPr>
      <w:r>
        <w:rPr>
          <w:rFonts w:hint="eastAsia" w:ascii="宋体" w:hAnsi="宋体"/>
          <w:color w:val="auto"/>
        </w:rPr>
        <w:t xml:space="preserve">带磁力搅拌功能的水浴恒温支架 </w:t>
      </w:r>
      <w:r>
        <w:rPr>
          <w:rFonts w:ascii="宋体" w:hAnsi="宋体"/>
          <w:color w:val="auto"/>
        </w:rPr>
        <w:t xml:space="preserve">                      </w:t>
      </w:r>
      <w:r>
        <w:rPr>
          <w:rFonts w:hint="eastAsia" w:ascii="宋体" w:hAnsi="宋体"/>
          <w:color w:val="auto"/>
        </w:rPr>
        <w:t xml:space="preserve"> 1套</w:t>
      </w:r>
    </w:p>
    <w:p>
      <w:pPr>
        <w:spacing w:line="360" w:lineRule="auto"/>
        <w:ind w:firstLine="420"/>
        <w:rPr>
          <w:rFonts w:ascii="宋体" w:hAnsi="宋体"/>
          <w:color w:val="auto"/>
        </w:rPr>
      </w:pPr>
      <w:r>
        <w:rPr>
          <w:rFonts w:hint="eastAsia" w:ascii="宋体" w:hAnsi="宋体"/>
          <w:color w:val="auto"/>
        </w:rPr>
        <w:t xml:space="preserve">10mm 比色皿 </w:t>
      </w:r>
      <w:r>
        <w:rPr>
          <w:rFonts w:ascii="宋体" w:hAnsi="宋体"/>
          <w:color w:val="auto"/>
        </w:rPr>
        <w:t xml:space="preserve">                                        </w:t>
      </w:r>
      <w:r>
        <w:rPr>
          <w:rFonts w:hint="eastAsia" w:ascii="宋体" w:hAnsi="宋体"/>
          <w:color w:val="auto"/>
        </w:rPr>
        <w:t>1套</w:t>
      </w:r>
    </w:p>
    <w:p>
      <w:pPr>
        <w:spacing w:line="360" w:lineRule="auto"/>
        <w:ind w:firstLine="420"/>
        <w:rPr>
          <w:rFonts w:ascii="宋体" w:hAnsi="宋体"/>
          <w:color w:val="auto"/>
        </w:rPr>
      </w:pPr>
      <w:r>
        <w:rPr>
          <w:rFonts w:hint="eastAsia" w:ascii="宋体" w:hAnsi="宋体"/>
          <w:color w:val="auto"/>
        </w:rPr>
        <w:t>带胶盖高样品仓盖（避光、可插入超声波探针）          1套</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供应商应为采购方进行人员培训，现场免费培训仪器操作人员一至两名</w:t>
      </w:r>
      <w:r>
        <w:rPr>
          <w:rFonts w:hint="eastAsia" w:asciiTheme="minorEastAsia" w:hAnsiTheme="minorEastAsia" w:eastAsiaTheme="minorEastAsia"/>
          <w:sz w:val="28"/>
          <w:szCs w:val="28"/>
        </w:rPr>
        <w:t>，提供不少于1次的小班应用提高培训，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asciiTheme="minorEastAsia" w:hAnsiTheme="minorEastAsia" w:eastAsiaTheme="minorEastAsia"/>
          <w:sz w:val="28"/>
          <w:szCs w:val="28"/>
        </w:rPr>
        <w:t>报修响应时间为24小时,48小时维修工程师赶到现场，提供详细的售后服务计划。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560" w:firstLineChars="200"/>
        <w:rPr>
          <w:sz w:val="28"/>
          <w:szCs w:val="28"/>
        </w:rPr>
      </w:pPr>
      <w:bookmarkStart w:id="165" w:name="_Toc523931348"/>
      <w:bookmarkStart w:id="166" w:name="_Toc401414769"/>
      <w:r>
        <w:rPr>
          <w:rFonts w:hint="eastAsia" w:ascii="宋体" w:hAnsi="宋体" w:eastAsia="宋体" w:cs="宋体"/>
          <w:sz w:val="28"/>
          <w:szCs w:val="28"/>
        </w:rPr>
        <w:t>货到后以15天为验收期限，如为进口设备，中标价小于等于20万元的设备，合同签订后，支付全款至外贸代理公司，待货到验收合格后，再由外贸代理公司支付至卖方；中标价大于20万元的设备，合同签订后，支付合同金额的90%至外贸代理公司，待货到验收合格后，再由外贸代理公司支付至卖方，余10%尾款于正常使用一年后无息支付给外贸代理公司。</w:t>
      </w:r>
    </w:p>
    <w:p/>
    <w:p/>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2"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A4F2D"/>
    <w:rsid w:val="004D01B7"/>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0E7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C360BF-6D24-4DFD-B087-A76FC62E937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2308</Words>
  <Characters>13160</Characters>
  <Lines>109</Lines>
  <Paragraphs>30</Paragraphs>
  <TotalTime>14</TotalTime>
  <ScaleCrop>false</ScaleCrop>
  <LinksUpToDate>false</LinksUpToDate>
  <CharactersWithSpaces>15438</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2018-11-30T10:30:28Z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