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5FC" w:rsidRDefault="00053C0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40" w:lineRule="exact"/>
        <w:jc w:val="center"/>
        <w:rPr>
          <w:rFonts w:ascii="微软雅黑" w:eastAsia="微软雅黑" w:hAnsi="微软雅黑" w:cs="微软雅黑"/>
          <w:sz w:val="24"/>
          <w:szCs w:val="24"/>
        </w:rPr>
      </w:pPr>
      <w:bookmarkStart w:id="0" w:name="_Toc35393813"/>
      <w:r>
        <w:rPr>
          <w:rFonts w:ascii="微软雅黑" w:eastAsia="微软雅黑" w:hAnsi="微软雅黑" w:cs="微软雅黑" w:hint="eastAsia"/>
          <w:sz w:val="24"/>
          <w:szCs w:val="24"/>
        </w:rPr>
        <w:t>南京医科大学江宁校区图书馆空调系统改造项目更正公告</w:t>
      </w:r>
      <w:bookmarkEnd w:id="0"/>
      <w:r w:rsidR="00D4645C">
        <w:rPr>
          <w:rFonts w:ascii="微软雅黑" w:eastAsia="微软雅黑" w:hAnsi="微软雅黑" w:cs="微软雅黑" w:hint="eastAsia"/>
          <w:sz w:val="24"/>
          <w:szCs w:val="24"/>
        </w:rPr>
        <w:t>（二</w:t>
      </w:r>
      <w:bookmarkStart w:id="1" w:name="_GoBack"/>
      <w:bookmarkEnd w:id="1"/>
      <w:r w:rsidR="00D4645C">
        <w:rPr>
          <w:rFonts w:ascii="微软雅黑" w:eastAsia="微软雅黑" w:hAnsi="微软雅黑" w:cs="微软雅黑" w:hint="eastAsia"/>
          <w:sz w:val="24"/>
          <w:szCs w:val="24"/>
        </w:rPr>
        <w:t>）</w:t>
      </w:r>
    </w:p>
    <w:p w:rsidR="00FB55FC" w:rsidRDefault="00053C02">
      <w:pPr>
        <w:pStyle w:val="2"/>
        <w:spacing w:line="440" w:lineRule="exact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2" w:name="_Toc35393645"/>
      <w:bookmarkStart w:id="3" w:name="_Toc28359027"/>
      <w:bookmarkStart w:id="4" w:name="_Toc28359104"/>
      <w:bookmarkStart w:id="5" w:name="_Toc35393814"/>
      <w:r>
        <w:rPr>
          <w:rFonts w:ascii="微软雅黑" w:eastAsia="微软雅黑" w:hAnsi="微软雅黑" w:cs="微软雅黑" w:hint="eastAsia"/>
          <w:b w:val="0"/>
          <w:sz w:val="21"/>
          <w:szCs w:val="21"/>
        </w:rPr>
        <w:t>一、项目基本情况</w:t>
      </w:r>
      <w:bookmarkEnd w:id="2"/>
      <w:bookmarkEnd w:id="3"/>
      <w:bookmarkEnd w:id="4"/>
      <w:bookmarkEnd w:id="5"/>
    </w:p>
    <w:p w:rsidR="00FB55FC" w:rsidRDefault="00053C02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原公告的采购项目编号：NJMUCG3022021006(JSHC-2022040180A2)</w:t>
      </w:r>
    </w:p>
    <w:p w:rsidR="00FB55FC" w:rsidRDefault="00053C02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原公告的采购项目名称：南京医科大学江宁校区图书馆空调系统改造项目</w:t>
      </w:r>
    </w:p>
    <w:p w:rsidR="00FB55FC" w:rsidRDefault="00053C02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首次公告日期：2022年5月11日</w:t>
      </w:r>
    </w:p>
    <w:p w:rsidR="00FB55FC" w:rsidRDefault="00053C02">
      <w:pPr>
        <w:pStyle w:val="2"/>
        <w:spacing w:line="440" w:lineRule="exact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6" w:name="_Toc35393646"/>
      <w:bookmarkStart w:id="7" w:name="_Toc35393815"/>
      <w:bookmarkStart w:id="8" w:name="_Toc28359105"/>
      <w:bookmarkStart w:id="9" w:name="_Toc28359028"/>
      <w:r>
        <w:rPr>
          <w:rFonts w:ascii="微软雅黑" w:eastAsia="微软雅黑" w:hAnsi="微软雅黑" w:cs="微软雅黑" w:hint="eastAsia"/>
          <w:b w:val="0"/>
          <w:sz w:val="21"/>
          <w:szCs w:val="21"/>
        </w:rPr>
        <w:t>二、更正信息</w:t>
      </w:r>
      <w:bookmarkEnd w:id="6"/>
      <w:bookmarkEnd w:id="7"/>
      <w:bookmarkEnd w:id="8"/>
      <w:bookmarkEnd w:id="9"/>
    </w:p>
    <w:p w:rsidR="00FB55FC" w:rsidRDefault="00053C02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 xml:space="preserve">更正事项：□采购公告 </w:t>
      </w:r>
      <w:r>
        <w:rPr>
          <w:rFonts w:ascii="微软雅黑" w:eastAsia="微软雅黑" w:hAnsi="微软雅黑" w:cs="微软雅黑" w:hint="eastAsia"/>
        </w:rPr>
        <w:sym w:font="Wingdings 2" w:char="0052"/>
      </w:r>
      <w:r>
        <w:rPr>
          <w:rFonts w:ascii="微软雅黑" w:eastAsia="微软雅黑" w:hAnsi="微软雅黑" w:cs="微软雅黑" w:hint="eastAsia"/>
        </w:rPr>
        <w:t xml:space="preserve">采购文件 □采购结果     </w:t>
      </w:r>
    </w:p>
    <w:p w:rsidR="00FB55FC" w:rsidRDefault="00053C02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更正内容：</w:t>
      </w:r>
    </w:p>
    <w:p w:rsidR="00FB55FC" w:rsidRDefault="00053C02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1、采购文件第三章磋商须知中三、磋商办法和成交原则中部分评分标准更正如下，未提及的评分标准保持不变。</w:t>
      </w:r>
    </w:p>
    <w:tbl>
      <w:tblPr>
        <w:tblStyle w:val="a5"/>
        <w:tblW w:w="8146" w:type="dxa"/>
        <w:jc w:val="center"/>
        <w:tblLook w:val="04A0" w:firstRow="1" w:lastRow="0" w:firstColumn="1" w:lastColumn="0" w:noHBand="0" w:noVBand="1"/>
      </w:tblPr>
      <w:tblGrid>
        <w:gridCol w:w="1058"/>
        <w:gridCol w:w="3544"/>
        <w:gridCol w:w="3544"/>
      </w:tblGrid>
      <w:tr w:rsidR="00FB55FC">
        <w:trPr>
          <w:trHeight w:val="509"/>
          <w:jc w:val="center"/>
        </w:trPr>
        <w:tc>
          <w:tcPr>
            <w:tcW w:w="1058" w:type="dxa"/>
            <w:vAlign w:val="center"/>
          </w:tcPr>
          <w:p w:rsidR="00FB55FC" w:rsidRDefault="00053C02">
            <w:pPr>
              <w:spacing w:line="4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原序号</w:t>
            </w:r>
          </w:p>
        </w:tc>
        <w:tc>
          <w:tcPr>
            <w:tcW w:w="3544" w:type="dxa"/>
          </w:tcPr>
          <w:p w:rsidR="00FB55FC" w:rsidRDefault="00053C02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原采购文件要求</w:t>
            </w:r>
          </w:p>
        </w:tc>
        <w:tc>
          <w:tcPr>
            <w:tcW w:w="3544" w:type="dxa"/>
          </w:tcPr>
          <w:p w:rsidR="00FB55FC" w:rsidRDefault="00053C02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更正后的要求</w:t>
            </w:r>
          </w:p>
        </w:tc>
      </w:tr>
      <w:tr w:rsidR="00FB55FC">
        <w:trPr>
          <w:trHeight w:val="509"/>
          <w:jc w:val="center"/>
        </w:trPr>
        <w:tc>
          <w:tcPr>
            <w:tcW w:w="1058" w:type="dxa"/>
            <w:vAlign w:val="center"/>
          </w:tcPr>
          <w:p w:rsidR="00FB55FC" w:rsidRDefault="00053C02">
            <w:pPr>
              <w:spacing w:line="4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1</w:t>
            </w:r>
          </w:p>
        </w:tc>
        <w:tc>
          <w:tcPr>
            <w:tcW w:w="3544" w:type="dxa"/>
          </w:tcPr>
          <w:p w:rsidR="00FB55FC" w:rsidRDefault="00053C02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采用低价优先法计算，即满足采购文件要求且最终报价最低的响应报价为评审基准价，其价格分为满分。其他供应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商价格分统一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按照下列公式计算:报价得分=(评审基准价/最终响应报价)×25（小数点保留两位）</w:t>
            </w:r>
          </w:p>
        </w:tc>
        <w:tc>
          <w:tcPr>
            <w:tcW w:w="3544" w:type="dxa"/>
          </w:tcPr>
          <w:p w:rsidR="00FB55FC" w:rsidRDefault="00053C02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采用低价优先法计算，即满足采购文件要求且最终报价最低的响应报价为评审基准价，其价格分为满分。其他供应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商价格分统一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按照下列公式计算:报价得分=(评审基准价/最终响应报价)×30（小数点保留两位）</w:t>
            </w:r>
          </w:p>
        </w:tc>
      </w:tr>
      <w:tr w:rsidR="00FB55FC">
        <w:trPr>
          <w:trHeight w:val="509"/>
          <w:jc w:val="center"/>
        </w:trPr>
        <w:tc>
          <w:tcPr>
            <w:tcW w:w="1058" w:type="dxa"/>
            <w:vAlign w:val="center"/>
          </w:tcPr>
          <w:p w:rsidR="00FB55FC" w:rsidRDefault="00053C02">
            <w:pPr>
              <w:spacing w:line="4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2</w:t>
            </w:r>
          </w:p>
        </w:tc>
        <w:tc>
          <w:tcPr>
            <w:tcW w:w="3544" w:type="dxa"/>
          </w:tcPr>
          <w:p w:rsidR="00FB55FC" w:rsidRDefault="00053C02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各供应商对采购文件“技术参数及基本要求”中的技术条款响应程度进行评审：</w:t>
            </w:r>
          </w:p>
          <w:p w:rsidR="00FB55FC" w:rsidRDefault="00053C02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全部满足或者优于得18分。★项必须满足，否则做无效标处理。▲项每有一项不满足扣3分，其他参数每有一项不满足扣1分，扣完为止。（各供应商务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必按照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各项技术要求在技术参数及偏离表中如实详细填列，★项和▲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项需提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供相关证明材料，并加盖设备制造商公章）</w:t>
            </w:r>
          </w:p>
        </w:tc>
        <w:tc>
          <w:tcPr>
            <w:tcW w:w="3544" w:type="dxa"/>
          </w:tcPr>
          <w:p w:rsidR="00FB55FC" w:rsidRDefault="00053C02">
            <w:pPr>
              <w:spacing w:line="440" w:lineRule="exact"/>
              <w:jc w:val="lef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各供应商对采购文件“技术参数及基本要求”中的技术条款响应程度进行评审：</w:t>
            </w:r>
          </w:p>
          <w:p w:rsidR="00FB55FC" w:rsidRDefault="00053C02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全部满足或者优于得15分。★项必须满足，否则做无效标处理。▲项每有一项不满足扣3分，其他参数每有一项不满足扣1分，扣完为止。（各供应商务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必按照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各项技术要求在技术参数及偏离表中如实详细填列，★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项需提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供相关证明材料并加盖公章和▲</w:t>
            </w:r>
            <w:proofErr w:type="gramStart"/>
            <w:r>
              <w:rPr>
                <w:rFonts w:ascii="微软雅黑" w:eastAsia="微软雅黑" w:hAnsi="微软雅黑" w:cs="微软雅黑" w:hint="eastAsia"/>
              </w:rPr>
              <w:t>项需提</w:t>
            </w:r>
            <w:proofErr w:type="gramEnd"/>
            <w:r>
              <w:rPr>
                <w:rFonts w:ascii="微软雅黑" w:eastAsia="微软雅黑" w:hAnsi="微软雅黑" w:cs="微软雅黑" w:hint="eastAsia"/>
              </w:rPr>
              <w:t>供相关证明材料，并加盖设备制造商公章）</w:t>
            </w:r>
          </w:p>
        </w:tc>
      </w:tr>
      <w:tr w:rsidR="00FB55FC">
        <w:trPr>
          <w:trHeight w:val="1172"/>
          <w:jc w:val="center"/>
        </w:trPr>
        <w:tc>
          <w:tcPr>
            <w:tcW w:w="1058" w:type="dxa"/>
            <w:vAlign w:val="center"/>
          </w:tcPr>
          <w:p w:rsidR="00FB55FC" w:rsidRDefault="00053C02">
            <w:pPr>
              <w:spacing w:line="440" w:lineRule="exact"/>
              <w:jc w:val="center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lastRenderedPageBreak/>
              <w:t>3</w:t>
            </w:r>
          </w:p>
        </w:tc>
        <w:tc>
          <w:tcPr>
            <w:tcW w:w="3544" w:type="dxa"/>
          </w:tcPr>
          <w:p w:rsidR="00FB55FC" w:rsidRDefault="00053C02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供应商具有建筑机电安装工程专业承包叁级及以上资质的得5分。提供资质证书扫描件。</w:t>
            </w:r>
          </w:p>
        </w:tc>
        <w:tc>
          <w:tcPr>
            <w:tcW w:w="3544" w:type="dxa"/>
          </w:tcPr>
          <w:p w:rsidR="00FB55FC" w:rsidRDefault="00053C02">
            <w:pPr>
              <w:spacing w:line="440" w:lineRule="exact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 w:hint="eastAsia"/>
              </w:rPr>
              <w:t>供应商具有建筑机电安装工程专业承包叁级及以上资质的得3分。提供资质证书扫描件。</w:t>
            </w:r>
          </w:p>
        </w:tc>
      </w:tr>
    </w:tbl>
    <w:p w:rsidR="00FB55FC" w:rsidRDefault="00053C02">
      <w:pPr>
        <w:pStyle w:val="4"/>
        <w:spacing w:line="440" w:lineRule="exact"/>
        <w:ind w:leftChars="0" w:left="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2、小微型企业价格扣除更正为：本项目对小型和微型企业产品给予10%的扣除价格，用扣除后的价格参与评审。</w:t>
      </w:r>
    </w:p>
    <w:p w:rsidR="00FB55FC" w:rsidRDefault="00053C02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更正日期：2022年5月18日</w:t>
      </w:r>
    </w:p>
    <w:p w:rsidR="00FB55FC" w:rsidRDefault="00053C02">
      <w:pPr>
        <w:pStyle w:val="2"/>
        <w:spacing w:line="440" w:lineRule="exact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10" w:name="_Toc35393816"/>
      <w:bookmarkStart w:id="11" w:name="_Toc35393647"/>
      <w:r>
        <w:rPr>
          <w:rFonts w:ascii="微软雅黑" w:eastAsia="微软雅黑" w:hAnsi="微软雅黑" w:cs="微软雅黑" w:hint="eastAsia"/>
          <w:b w:val="0"/>
          <w:sz w:val="21"/>
          <w:szCs w:val="21"/>
        </w:rPr>
        <w:t>三、其他补充事宜</w:t>
      </w:r>
      <w:bookmarkEnd w:id="10"/>
      <w:bookmarkEnd w:id="11"/>
    </w:p>
    <w:p w:rsidR="00FB55FC" w:rsidRDefault="00053C02">
      <w:pPr>
        <w:pStyle w:val="2"/>
        <w:spacing w:line="440" w:lineRule="exact"/>
        <w:ind w:firstLineChars="200" w:firstLine="420"/>
        <w:rPr>
          <w:rFonts w:ascii="微软雅黑" w:eastAsia="微软雅黑" w:hAnsi="微软雅黑" w:cs="微软雅黑"/>
          <w:b w:val="0"/>
          <w:bCs w:val="0"/>
          <w:sz w:val="21"/>
          <w:szCs w:val="21"/>
        </w:rPr>
      </w:pPr>
      <w:bookmarkStart w:id="12" w:name="_Toc28359106"/>
      <w:bookmarkStart w:id="13" w:name="_Toc35393648"/>
      <w:bookmarkStart w:id="14" w:name="_Toc28359029"/>
      <w:bookmarkStart w:id="15" w:name="_Toc35393817"/>
      <w:r>
        <w:rPr>
          <w:rFonts w:ascii="微软雅黑" w:eastAsia="微软雅黑" w:hAnsi="微软雅黑" w:cs="微软雅黑" w:hint="eastAsia"/>
          <w:b w:val="0"/>
          <w:bCs w:val="0"/>
          <w:sz w:val="21"/>
          <w:szCs w:val="21"/>
        </w:rPr>
        <w:t>此更正公告在江苏省政府采购网发布。</w:t>
      </w:r>
    </w:p>
    <w:p w:rsidR="00FB55FC" w:rsidRDefault="00053C02">
      <w:pPr>
        <w:pStyle w:val="2"/>
        <w:spacing w:line="440" w:lineRule="exact"/>
        <w:rPr>
          <w:rFonts w:ascii="微软雅黑" w:eastAsia="微软雅黑" w:hAnsi="微软雅黑" w:cs="微软雅黑"/>
          <w:b w:val="0"/>
          <w:sz w:val="21"/>
          <w:szCs w:val="21"/>
        </w:rPr>
      </w:pPr>
      <w:r>
        <w:rPr>
          <w:rFonts w:ascii="微软雅黑" w:eastAsia="微软雅黑" w:hAnsi="微软雅黑" w:cs="微软雅黑" w:hint="eastAsia"/>
          <w:b w:val="0"/>
          <w:sz w:val="21"/>
          <w:szCs w:val="21"/>
        </w:rPr>
        <w:t>四、凡对本次公告内容提出询问，请按以下方式联系。</w:t>
      </w:r>
      <w:bookmarkEnd w:id="12"/>
      <w:bookmarkEnd w:id="13"/>
      <w:bookmarkEnd w:id="14"/>
      <w:bookmarkEnd w:id="15"/>
    </w:p>
    <w:p w:rsidR="00FB55FC" w:rsidRDefault="00053C02">
      <w:pPr>
        <w:pStyle w:val="2"/>
        <w:spacing w:line="440" w:lineRule="exact"/>
        <w:ind w:firstLineChars="200" w:firstLine="420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16" w:name="_Toc35393649"/>
      <w:bookmarkStart w:id="17" w:name="_Toc28359107"/>
      <w:bookmarkStart w:id="18" w:name="_Toc35393818"/>
      <w:bookmarkStart w:id="19" w:name="_Toc28359030"/>
      <w:r>
        <w:rPr>
          <w:rFonts w:ascii="微软雅黑" w:eastAsia="微软雅黑" w:hAnsi="微软雅黑" w:cs="微软雅黑" w:hint="eastAsia"/>
          <w:b w:val="0"/>
          <w:sz w:val="21"/>
          <w:szCs w:val="21"/>
        </w:rPr>
        <w:t>1.采购人信息</w:t>
      </w:r>
      <w:bookmarkEnd w:id="16"/>
      <w:bookmarkEnd w:id="17"/>
      <w:bookmarkEnd w:id="18"/>
      <w:bookmarkEnd w:id="19"/>
    </w:p>
    <w:p w:rsidR="00FB55FC" w:rsidRDefault="00053C02">
      <w:pPr>
        <w:spacing w:line="400" w:lineRule="exact"/>
        <w:ind w:firstLineChars="300" w:firstLine="63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名    称：南京医科大学</w:t>
      </w:r>
    </w:p>
    <w:p w:rsidR="00FB55FC" w:rsidRDefault="00053C02">
      <w:pPr>
        <w:spacing w:line="440" w:lineRule="exact"/>
        <w:ind w:firstLineChars="300" w:firstLine="63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地    址：南京市江宁区龙眠大道101号</w:t>
      </w:r>
    </w:p>
    <w:p w:rsidR="00FB55FC" w:rsidRDefault="00053C02">
      <w:pPr>
        <w:spacing w:line="440" w:lineRule="exact"/>
        <w:ind w:firstLineChars="300" w:firstLine="63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联系方式：阚老师 025-86869242</w:t>
      </w:r>
    </w:p>
    <w:p w:rsidR="00FB55FC" w:rsidRDefault="00053C02">
      <w:pPr>
        <w:pStyle w:val="2"/>
        <w:spacing w:line="440" w:lineRule="exact"/>
        <w:ind w:firstLineChars="200" w:firstLine="420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20" w:name="_Toc28359108"/>
      <w:bookmarkStart w:id="21" w:name="_Toc35393819"/>
      <w:bookmarkStart w:id="22" w:name="_Toc28359031"/>
      <w:bookmarkStart w:id="23" w:name="_Toc35393650"/>
      <w:r>
        <w:rPr>
          <w:rFonts w:ascii="微软雅黑" w:eastAsia="微软雅黑" w:hAnsi="微软雅黑" w:cs="微软雅黑" w:hint="eastAsia"/>
          <w:b w:val="0"/>
          <w:sz w:val="21"/>
          <w:szCs w:val="21"/>
        </w:rPr>
        <w:t>2.采购代理机构信息</w:t>
      </w:r>
      <w:bookmarkEnd w:id="20"/>
      <w:bookmarkEnd w:id="21"/>
      <w:bookmarkEnd w:id="22"/>
      <w:bookmarkEnd w:id="23"/>
    </w:p>
    <w:p w:rsidR="00FB55FC" w:rsidRDefault="00053C02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名    称：江苏省华采招标有限公司</w:t>
      </w:r>
    </w:p>
    <w:p w:rsidR="00FB55FC" w:rsidRDefault="00053C02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地    址：南京市建</w:t>
      </w:r>
      <w:proofErr w:type="gramStart"/>
      <w:r>
        <w:rPr>
          <w:rFonts w:ascii="微软雅黑" w:eastAsia="微软雅黑" w:hAnsi="微软雅黑" w:cs="微软雅黑" w:hint="eastAsia"/>
        </w:rPr>
        <w:t>邺</w:t>
      </w:r>
      <w:proofErr w:type="gramEnd"/>
      <w:r>
        <w:rPr>
          <w:rFonts w:ascii="微软雅黑" w:eastAsia="微软雅黑" w:hAnsi="微软雅黑" w:cs="微软雅黑" w:hint="eastAsia"/>
        </w:rPr>
        <w:t>区嘉陵江东街8号综合体B3栋一单元16层</w:t>
      </w:r>
    </w:p>
    <w:p w:rsidR="00FB55FC" w:rsidRDefault="00053C02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联系方式：</w:t>
      </w:r>
      <w:bookmarkStart w:id="24" w:name="_Toc28359109"/>
      <w:bookmarkStart w:id="25" w:name="_Toc28359032"/>
      <w:proofErr w:type="gramStart"/>
      <w:r>
        <w:rPr>
          <w:rFonts w:ascii="微软雅黑" w:eastAsia="微软雅黑" w:hAnsi="微软雅黑" w:cs="微软雅黑" w:hint="eastAsia"/>
        </w:rPr>
        <w:t>王工</w:t>
      </w:r>
      <w:proofErr w:type="gramEnd"/>
      <w:r>
        <w:rPr>
          <w:rFonts w:ascii="微软雅黑" w:eastAsia="微软雅黑" w:hAnsi="微软雅黑" w:cs="微软雅黑" w:hint="eastAsia"/>
        </w:rPr>
        <w:t xml:space="preserve">  025-83603378</w:t>
      </w:r>
    </w:p>
    <w:p w:rsidR="00FB55FC" w:rsidRDefault="00053C02">
      <w:pPr>
        <w:pStyle w:val="2"/>
        <w:spacing w:line="440" w:lineRule="exact"/>
        <w:ind w:firstLineChars="200" w:firstLine="420"/>
        <w:rPr>
          <w:rFonts w:ascii="微软雅黑" w:eastAsia="微软雅黑" w:hAnsi="微软雅黑" w:cs="微软雅黑"/>
          <w:b w:val="0"/>
          <w:sz w:val="21"/>
          <w:szCs w:val="21"/>
        </w:rPr>
      </w:pPr>
      <w:bookmarkStart w:id="26" w:name="_Toc35393651"/>
      <w:bookmarkStart w:id="27" w:name="_Toc35393820"/>
      <w:r>
        <w:rPr>
          <w:rFonts w:ascii="微软雅黑" w:eastAsia="微软雅黑" w:hAnsi="微软雅黑" w:cs="微软雅黑" w:hint="eastAsia"/>
          <w:b w:val="0"/>
          <w:sz w:val="21"/>
          <w:szCs w:val="21"/>
        </w:rPr>
        <w:t>3.项目联系方式</w:t>
      </w:r>
      <w:bookmarkEnd w:id="24"/>
      <w:bookmarkEnd w:id="25"/>
      <w:bookmarkEnd w:id="26"/>
      <w:bookmarkEnd w:id="27"/>
    </w:p>
    <w:p w:rsidR="00FB55FC" w:rsidRDefault="00053C02">
      <w:pPr>
        <w:pStyle w:val="a4"/>
        <w:spacing w:line="440" w:lineRule="exact"/>
        <w:ind w:firstLineChars="200" w:firstLine="420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 xml:space="preserve">项目联系人：王工  </w:t>
      </w:r>
    </w:p>
    <w:p w:rsidR="00FB55FC" w:rsidRDefault="00053C02">
      <w:pPr>
        <w:spacing w:line="440" w:lineRule="exact"/>
        <w:ind w:firstLineChars="200" w:firstLine="420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</w:rPr>
        <w:t>电　　 话：025-83603378</w:t>
      </w:r>
    </w:p>
    <w:p w:rsidR="00FA11D8" w:rsidRDefault="00FA11D8" w:rsidP="00FA11D8">
      <w:pPr>
        <w:pStyle w:val="a0"/>
        <w:ind w:left="1470" w:right="1470"/>
      </w:pPr>
    </w:p>
    <w:p w:rsidR="00FA11D8" w:rsidRDefault="00FA11D8" w:rsidP="00FA11D8"/>
    <w:p w:rsidR="00FA11D8" w:rsidRDefault="00FA11D8" w:rsidP="00FA11D8">
      <w:pPr>
        <w:pStyle w:val="a0"/>
        <w:ind w:left="1470" w:right="1470"/>
        <w:rPr>
          <w:rFonts w:ascii="微软雅黑" w:eastAsia="微软雅黑" w:hAnsi="微软雅黑" w:cs="微软雅黑"/>
        </w:rPr>
      </w:pPr>
      <w:r>
        <w:rPr>
          <w:rFonts w:hint="eastAsia"/>
        </w:rPr>
        <w:t xml:space="preserve"> </w:t>
      </w:r>
      <w:r>
        <w:t xml:space="preserve">                           </w:t>
      </w:r>
      <w:r>
        <w:rPr>
          <w:rFonts w:ascii="微软雅黑" w:eastAsia="微软雅黑" w:hAnsi="微软雅黑" w:cs="微软雅黑" w:hint="eastAsia"/>
        </w:rPr>
        <w:t>江苏省华采招标有限公司</w:t>
      </w:r>
    </w:p>
    <w:p w:rsidR="00FA11D8" w:rsidRPr="00FA11D8" w:rsidRDefault="00FA11D8" w:rsidP="00FA11D8">
      <w:r>
        <w:t xml:space="preserve">                                              2022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8</w:t>
      </w:r>
      <w:r>
        <w:rPr>
          <w:rFonts w:hint="eastAsia"/>
        </w:rPr>
        <w:t>日</w:t>
      </w:r>
    </w:p>
    <w:p w:rsidR="00FB55FC" w:rsidRDefault="00FB55FC">
      <w:pPr>
        <w:spacing w:line="440" w:lineRule="exact"/>
        <w:rPr>
          <w:rFonts w:ascii="微软雅黑" w:eastAsia="微软雅黑" w:hAnsi="微软雅黑" w:cs="微软雅黑"/>
        </w:rPr>
      </w:pPr>
    </w:p>
    <w:sectPr w:rsidR="00FB5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9D3" w:rsidRDefault="005709D3" w:rsidP="00FA11D8">
      <w:r>
        <w:separator/>
      </w:r>
    </w:p>
  </w:endnote>
  <w:endnote w:type="continuationSeparator" w:id="0">
    <w:p w:rsidR="005709D3" w:rsidRDefault="005709D3" w:rsidP="00FA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9D3" w:rsidRDefault="005709D3" w:rsidP="00FA11D8">
      <w:r>
        <w:separator/>
      </w:r>
    </w:p>
  </w:footnote>
  <w:footnote w:type="continuationSeparator" w:id="0">
    <w:p w:rsidR="005709D3" w:rsidRDefault="005709D3" w:rsidP="00FA1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ViZmNmMzY3ODc3NmVhOTFmNDI1MDIyMzQxNGI0NTgifQ=="/>
  </w:docVars>
  <w:rsids>
    <w:rsidRoot w:val="00FB55FC"/>
    <w:rsid w:val="00053C02"/>
    <w:rsid w:val="005709D3"/>
    <w:rsid w:val="00D4645C"/>
    <w:rsid w:val="00FA11D8"/>
    <w:rsid w:val="00FB55FC"/>
    <w:rsid w:val="04787C5D"/>
    <w:rsid w:val="051C4A8C"/>
    <w:rsid w:val="0AFB0598"/>
    <w:rsid w:val="12434F9C"/>
    <w:rsid w:val="138D4967"/>
    <w:rsid w:val="15DB629E"/>
    <w:rsid w:val="1A141D7E"/>
    <w:rsid w:val="1A8B6019"/>
    <w:rsid w:val="1CB36458"/>
    <w:rsid w:val="1E9C2E47"/>
    <w:rsid w:val="238166D6"/>
    <w:rsid w:val="24A046C1"/>
    <w:rsid w:val="25E62821"/>
    <w:rsid w:val="27D906DC"/>
    <w:rsid w:val="2B33475A"/>
    <w:rsid w:val="2C0933E8"/>
    <w:rsid w:val="2F113385"/>
    <w:rsid w:val="2F120B2A"/>
    <w:rsid w:val="325616CA"/>
    <w:rsid w:val="36603C56"/>
    <w:rsid w:val="3A8F74D3"/>
    <w:rsid w:val="3B603EC8"/>
    <w:rsid w:val="421309EA"/>
    <w:rsid w:val="43433935"/>
    <w:rsid w:val="44743CCA"/>
    <w:rsid w:val="46CE60A5"/>
    <w:rsid w:val="477A6A58"/>
    <w:rsid w:val="49284D7B"/>
    <w:rsid w:val="49B605D8"/>
    <w:rsid w:val="549E2395"/>
    <w:rsid w:val="59BF77F2"/>
    <w:rsid w:val="5C28180B"/>
    <w:rsid w:val="5FC52ECB"/>
    <w:rsid w:val="6511270F"/>
    <w:rsid w:val="67784CC7"/>
    <w:rsid w:val="69F745C9"/>
    <w:rsid w:val="6CD97FB6"/>
    <w:rsid w:val="6E5A6ED5"/>
    <w:rsid w:val="6EC3563C"/>
    <w:rsid w:val="70E231B1"/>
    <w:rsid w:val="71526AD5"/>
    <w:rsid w:val="72C74D55"/>
    <w:rsid w:val="74082FD3"/>
    <w:rsid w:val="7FB14DC3"/>
    <w:rsid w:val="7FD8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65C80"/>
  <w15:docId w15:val="{7DF4D9A3-8FA4-47F2-8EA7-2086D2E1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lock Text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next w:val="a"/>
    <w:uiPriority w:val="99"/>
    <w:unhideWhenUsed/>
    <w:qFormat/>
    <w:pPr>
      <w:spacing w:after="120"/>
      <w:ind w:leftChars="700" w:left="1440" w:rightChars="700" w:right="1440"/>
    </w:pPr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table" w:styleId="a5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1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FA11D8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FA1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1"/>
    <w:link w:val="a8"/>
    <w:rsid w:val="00FA11D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shenji</cp:lastModifiedBy>
  <cp:revision>3</cp:revision>
  <dcterms:created xsi:type="dcterms:W3CDTF">2021-09-29T03:18:00Z</dcterms:created>
  <dcterms:modified xsi:type="dcterms:W3CDTF">2022-05-18T07:31:00Z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B836CA9319ED419EBA6E4F69D9998B95</vt:lpwstr>
  </property>
</Properties>
</file>