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项目名称：南京医科大学超声动物声谱采集系统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rFonts w:hint="default" w:eastAsiaTheme="minorEastAsia"/>
          <w:b/>
          <w:bCs/>
          <w:sz w:val="32"/>
          <w:lang w:val="en-US" w:eastAsia="zh-CN"/>
        </w:rPr>
      </w:pPr>
      <w:r>
        <w:rPr>
          <w:rFonts w:hint="eastAsia"/>
          <w:b/>
          <w:bCs/>
          <w:sz w:val="32"/>
        </w:rPr>
        <w:t>项目编号：</w:t>
      </w:r>
      <w:r>
        <w:rPr>
          <w:rFonts w:hint="eastAsia" w:asciiTheme="minorEastAsia" w:hAnsiTheme="minorEastAsia" w:eastAsiaTheme="minorEastAsia"/>
          <w:b/>
          <w:bCs/>
          <w:sz w:val="32"/>
          <w:szCs w:val="32"/>
          <w:highlight w:val="none"/>
        </w:rPr>
        <w:t>NJMUZB30120190</w:t>
      </w:r>
      <w:r>
        <w:rPr>
          <w:rFonts w:hint="eastAsia" w:asciiTheme="minorEastAsia" w:hAnsiTheme="minorEastAsia" w:eastAsiaTheme="minorEastAsia"/>
          <w:b/>
          <w:bCs/>
          <w:sz w:val="32"/>
          <w:szCs w:val="32"/>
          <w:highlight w:val="none"/>
          <w:lang w:val="en-US" w:eastAsia="zh-CN"/>
        </w:rPr>
        <w:t>62</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479757206"/>
      <w:bookmarkStart w:id="5" w:name="_Toc16938516"/>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OLE_LINK2"/>
      <w:bookmarkStart w:id="9" w:name="_Toc120614221"/>
      <w:bookmarkStart w:id="10" w:name="_Toc513029242"/>
      <w:bookmarkStart w:id="11" w:name="_Toc120614211"/>
      <w:bookmarkStart w:id="12" w:name="_Toc444669970"/>
      <w:bookmarkStart w:id="13" w:name="_Toc20823314"/>
      <w:bookmarkStart w:id="14" w:name="_Toc16938558"/>
      <w:bookmarkStart w:id="15" w:name="OLE_LINK1"/>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超声动物声谱采集系统采购项目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南京医科大学超声动物声谱采集系统购置项目</w:t>
      </w:r>
    </w:p>
    <w:p>
      <w:pPr>
        <w:spacing w:after="0" w:line="500" w:lineRule="exact"/>
        <w:ind w:firstLine="560" w:firstLineChars="200"/>
        <w:rPr>
          <w:rFonts w:hint="default" w:asciiTheme="minorEastAsia" w:hAnsiTheme="minorEastAsia" w:eastAsiaTheme="minorEastAsia"/>
          <w:b/>
          <w:sz w:val="28"/>
          <w:szCs w:val="28"/>
          <w:u w:val="single"/>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w:t>
      </w:r>
      <w:r>
        <w:rPr>
          <w:rFonts w:hint="eastAsia" w:asciiTheme="minorEastAsia" w:hAnsiTheme="minorEastAsia" w:eastAsiaTheme="minorEastAsia"/>
          <w:sz w:val="28"/>
          <w:szCs w:val="28"/>
          <w:highlight w:val="none"/>
          <w:lang w:val="en-US" w:eastAsia="zh-CN"/>
        </w:rPr>
        <w:t>62</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sz w:val="28"/>
          <w:szCs w:val="28"/>
        </w:rPr>
        <w:t>12.5万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（三）如为进口设备，需提供免税报价。</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rPr>
        <w:t>六、投</w:t>
      </w:r>
      <w:bookmarkStart w:id="181" w:name="_GoBack"/>
      <w:r>
        <w:rPr>
          <w:rFonts w:hint="eastAsia" w:asciiTheme="minorEastAsia" w:hAnsiTheme="minorEastAsia" w:eastAsiaTheme="minorEastAsia"/>
          <w:b/>
          <w:sz w:val="28"/>
          <w:szCs w:val="28"/>
          <w:highlight w:val="none"/>
        </w:rPr>
        <w:t>标截止时间及开标信息</w:t>
      </w:r>
    </w:p>
    <w:p>
      <w:pPr>
        <w:spacing w:before="120" w:beforeLines="50" w:after="120" w:afterLines="50"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投标文件接收开始时间：2019年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7</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8</w:t>
      </w:r>
      <w:r>
        <w:rPr>
          <w:rFonts w:hint="eastAsia" w:asciiTheme="minorEastAsia" w:hAnsiTheme="minorEastAsia" w:eastAsiaTheme="minorEastAsia"/>
          <w:sz w:val="24"/>
          <w:szCs w:val="24"/>
          <w:highlight w:val="none"/>
        </w:rPr>
        <w:t>:30（北京时间）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投标文件接收截止时间：2019年1</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7</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2019年1</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7</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:15（北京时间）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开标地点：南京医科大学江宁校区德馨楼B323室</w:t>
      </w:r>
    </w:p>
    <w:bookmarkEnd w:id="181"/>
    <w:p>
      <w:pPr>
        <w:numPr>
          <w:ilvl w:val="0"/>
          <w:numId w:val="3"/>
        </w:num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120" w:beforeLines="50" w:after="12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项目需求方联系人：胡老师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13851712810</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513029202"/>
      <w:bookmarkStart w:id="20" w:name="_Toc16938518"/>
      <w:bookmarkStart w:id="21" w:name="_Toc120614213"/>
      <w:bookmarkStart w:id="22" w:name="_Toc20823274"/>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20823275"/>
      <w:bookmarkStart w:id="24" w:name="_Toc16938519"/>
      <w:bookmarkStart w:id="25" w:name="_Toc513029203"/>
      <w:bookmarkStart w:id="26" w:name="_Toc120614214"/>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513029204"/>
      <w:bookmarkStart w:id="30" w:name="_Toc20823276"/>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513029205"/>
      <w:bookmarkStart w:id="33" w:name="_Toc16938521"/>
      <w:bookmarkStart w:id="34" w:name="_Toc20823277"/>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16938522"/>
      <w:bookmarkStart w:id="36" w:name="_Toc20823278"/>
      <w:bookmarkStart w:id="37" w:name="_Toc513029206"/>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513029207"/>
      <w:bookmarkStart w:id="39" w:name="_Toc16938523"/>
      <w:bookmarkStart w:id="40" w:name="_Toc462564067"/>
      <w:bookmarkStart w:id="41" w:name="_Toc20823279"/>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20823281"/>
      <w:bookmarkStart w:id="43" w:name="_Toc513029209"/>
      <w:bookmarkStart w:id="44" w:name="_Toc16938525"/>
      <w:bookmarkStart w:id="45" w:name="_Toc517190883"/>
      <w:bookmarkStart w:id="46" w:name="_Toc120614215"/>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20823282"/>
      <w:bookmarkStart w:id="48" w:name="_Toc16938526"/>
      <w:bookmarkStart w:id="49" w:name="_Toc513029210"/>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462564070"/>
      <w:bookmarkStart w:id="51" w:name="_Toc20823283"/>
      <w:bookmarkStart w:id="52" w:name="_Toc16938527"/>
      <w:bookmarkStart w:id="53" w:name="_Toc513029211"/>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513029212"/>
      <w:bookmarkStart w:id="55" w:name="_Toc16938528"/>
      <w:bookmarkStart w:id="56" w:name="_Toc20823284"/>
      <w:bookmarkStart w:id="57" w:name="_Toc462564071"/>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16938529"/>
      <w:bookmarkStart w:id="59" w:name="_Toc513029213"/>
      <w:bookmarkStart w:id="60" w:name="_Toc517190884"/>
      <w:bookmarkStart w:id="61" w:name="_Toc120614216"/>
      <w:bookmarkStart w:id="62" w:name="_Toc20823285"/>
      <w:bookmarkStart w:id="63" w:name="_Toc462564072"/>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20823286"/>
      <w:bookmarkStart w:id="65" w:name="_Toc513029214"/>
      <w:bookmarkStart w:id="66" w:name="_Toc462564073"/>
      <w:bookmarkStart w:id="67" w:name="_Toc16938530"/>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462564074"/>
      <w:bookmarkStart w:id="69" w:name="_Toc513029215"/>
      <w:bookmarkStart w:id="70" w:name="_Toc16938531"/>
      <w:bookmarkStart w:id="71" w:name="_Toc20823287"/>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670360"/>
      <w:bookmarkEnd w:id="72"/>
      <w:bookmarkStart w:id="73" w:name="_Hlt26954838"/>
      <w:bookmarkEnd w:id="73"/>
      <w:bookmarkStart w:id="74" w:name="_Hlt26668975"/>
      <w:bookmarkEnd w:id="74"/>
      <w:bookmarkStart w:id="75" w:name="_Toc49090509"/>
      <w:bookmarkStart w:id="76" w:name="_Toc14577357"/>
      <w:bookmarkStart w:id="77" w:name="_Toc513029219"/>
      <w:bookmarkStart w:id="78" w:name="_Toc49090507"/>
      <w:bookmarkStart w:id="79" w:name="_Toc14577354"/>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68983"/>
      <w:bookmarkEnd w:id="87"/>
      <w:bookmarkStart w:id="88" w:name="_Hlt26670425"/>
      <w:bookmarkEnd w:id="88"/>
      <w:bookmarkStart w:id="89" w:name="_Hlt26954842"/>
      <w:bookmarkEnd w:id="89"/>
      <w:bookmarkStart w:id="90" w:name="_Hlt26954844"/>
      <w:bookmarkEnd w:id="90"/>
      <w:bookmarkStart w:id="91" w:name="_Hlt26670403"/>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731"/>
      <w:bookmarkEnd w:id="92"/>
      <w:bookmarkStart w:id="93" w:name="_Hlt26670482"/>
      <w:bookmarkEnd w:id="93"/>
      <w:bookmarkStart w:id="94" w:name="_Hlt26954848"/>
      <w:bookmarkEnd w:id="94"/>
      <w:bookmarkStart w:id="95" w:name="_Hlt26954846"/>
      <w:bookmarkEnd w:id="95"/>
      <w:bookmarkStart w:id="96" w:name="_Hlt26670486"/>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49090510"/>
      <w:bookmarkStart w:id="98"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954734"/>
      <w:bookmarkEnd w:id="99"/>
      <w:bookmarkStart w:id="100" w:name="_Hlt26954852"/>
      <w:bookmarkEnd w:id="100"/>
      <w:bookmarkStart w:id="101" w:name="_Hlt26670489"/>
      <w:bookmarkEnd w:id="101"/>
      <w:bookmarkStart w:id="102" w:name="_Hlt26954739"/>
      <w:bookmarkEnd w:id="102"/>
      <w:bookmarkStart w:id="103" w:name="_Hlt26954850"/>
      <w:bookmarkEnd w:id="103"/>
      <w:bookmarkStart w:id="104" w:name="_Toc49090512"/>
      <w:bookmarkStart w:id="105" w:name="_Toc14577361"/>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16938540"/>
      <w:bookmarkStart w:id="107" w:name="_Toc20823296"/>
      <w:bookmarkStart w:id="108" w:name="_Toc120614217"/>
      <w:bookmarkStart w:id="109" w:name="_Toc517190885"/>
      <w:bookmarkStart w:id="110" w:name="_Toc513029224"/>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513029226"/>
      <w:bookmarkStart w:id="116" w:name="_Toc16938542"/>
      <w:bookmarkStart w:id="117" w:name="_Toc20823298"/>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16938544"/>
      <w:bookmarkStart w:id="122" w:name="_Toc20823300"/>
      <w:bookmarkStart w:id="123" w:name="_Toc513029228"/>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20823301"/>
      <w:bookmarkStart w:id="125" w:name="_Toc513029229"/>
      <w:bookmarkStart w:id="126" w:name="_Toc120614218"/>
      <w:bookmarkStart w:id="127" w:name="_Toc517190886"/>
      <w:bookmarkStart w:id="128" w:name="_Toc16938545"/>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20823302"/>
      <w:bookmarkStart w:id="130" w:name="_Toc513029230"/>
      <w:bookmarkStart w:id="131" w:name="_Toc16938546"/>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20823303"/>
      <w:bookmarkStart w:id="133" w:name="_Toc513029231"/>
      <w:bookmarkStart w:id="134"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20823304"/>
      <w:bookmarkStart w:id="136" w:name="_Toc513029232"/>
      <w:bookmarkStart w:id="137" w:name="_Toc16938548"/>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16938550"/>
      <w:bookmarkStart w:id="139" w:name="_Toc20823306"/>
      <w:bookmarkStart w:id="140" w:name="_Toc513029234"/>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20823307"/>
      <w:bookmarkStart w:id="142" w:name="_Toc16938551"/>
      <w:bookmarkStart w:id="143" w:name="_Toc513029235"/>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16938554"/>
      <w:bookmarkStart w:id="148" w:name="_Toc20823310"/>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4"/>
      <w:bookmarkStart w:id="150" w:name="OLE_LINK5"/>
      <w:bookmarkStart w:id="151" w:name="OLE_LINK3"/>
      <w:bookmarkStart w:id="152" w:name="OLE_LINK8"/>
      <w:bookmarkStart w:id="153" w:name="OLE_LINK7"/>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517190888"/>
      <w:bookmarkStart w:id="157" w:name="_Toc120614220"/>
      <w:bookmarkStart w:id="158" w:name="_Toc16938552"/>
      <w:bookmarkStart w:id="159" w:name="_Toc20823308"/>
      <w:bookmarkStart w:id="160" w:name="_Toc513029236"/>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20823309"/>
      <w:bookmarkStart w:id="162" w:name="_Toc16938553"/>
      <w:bookmarkStart w:id="163" w:name="_Toc513029237"/>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r>
        <w:rPr>
          <w:rFonts w:hint="eastAsia" w:asciiTheme="minorEastAsia" w:hAnsiTheme="minorEastAsia" w:eastAsiaTheme="minorEastAsia"/>
          <w:b/>
          <w:sz w:val="44"/>
          <w:szCs w:val="44"/>
        </w:rPr>
        <w:t xml:space="preserve">第三章   </w:t>
      </w:r>
      <w:bookmarkStart w:id="165" w:name="_Toc523931347"/>
      <w:r>
        <w:rPr>
          <w:rFonts w:hint="eastAsia" w:asciiTheme="minorEastAsia" w:hAnsiTheme="minorEastAsia" w:eastAsiaTheme="minorEastAsia"/>
          <w:b/>
          <w:sz w:val="44"/>
          <w:szCs w:val="44"/>
        </w:rPr>
        <w:t>项目需求</w:t>
      </w:r>
      <w:bookmarkEnd w:id="165"/>
    </w:p>
    <w:p/>
    <w:p>
      <w:pPr>
        <w:rPr>
          <w:rFonts w:eastAsiaTheme="minorEastAsia"/>
        </w:rPr>
      </w:pPr>
      <w:r>
        <w:rPr>
          <w:rFonts w:hint="eastAsia" w:asciiTheme="minorEastAsia" w:hAnsiTheme="minorEastAsia" w:eastAsiaTheme="minorEastAsia" w:cstheme="minorEastAsia"/>
          <w:b/>
          <w:bCs/>
          <w:sz w:val="28"/>
          <w:szCs w:val="28"/>
        </w:rPr>
        <w:t>一、技术参数</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1、ADC 类型：集成的假信号过滤 delta-sigmn 架构；</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 xml:space="preserve">2、分辨率：16 </w:t>
      </w:r>
      <w:r>
        <w:rPr>
          <w:rFonts w:hint="eastAsia" w:cs="Times New Roman" w:asciiTheme="minorEastAsia" w:hAnsiTheme="minorEastAsia" w:eastAsiaTheme="minorEastAsia"/>
          <w:bCs/>
          <w:sz w:val="28"/>
          <w:szCs w:val="28"/>
          <w:lang w:val="de-DE"/>
        </w:rPr>
        <w:t>位</w:t>
      </w:r>
      <w:r>
        <w:rPr>
          <w:rFonts w:hint="eastAsia" w:cs="Times New Roman" w:asciiTheme="minorEastAsia" w:hAnsiTheme="minorEastAsia" w:eastAsiaTheme="minorEastAsia"/>
          <w:bCs/>
          <w:sz w:val="28"/>
          <w:szCs w:val="28"/>
        </w:rPr>
        <w:t>或 8 位；</w:t>
      </w:r>
    </w:p>
    <w:p>
      <w:pPr>
        <w:spacing w:line="240" w:lineRule="auto"/>
        <w:rPr>
          <w:rFonts w:hint="eastAsia"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3、采样率：300，250,214,187.5,166.6,150,125,100,75,62.5,50；4、频率响应(-3dB，外部输入无 MIC)20 Hz 至 240kHz；</w:t>
      </w:r>
    </w:p>
    <w:p>
      <w:pPr>
        <w:spacing w:line="240" w:lineRule="auto"/>
        <w:rPr>
          <w:rFonts w:cs="Times New Roman" w:asciiTheme="minorEastAsia" w:hAnsiTheme="minorEastAsia" w:eastAsiaTheme="minorEastAsia"/>
          <w:bCs/>
          <w:sz w:val="28"/>
          <w:szCs w:val="28"/>
        </w:rPr>
      </w:pPr>
      <w:r>
        <w:rPr>
          <w:rFonts w:hint="eastAsia" w:cs="宋体" w:asciiTheme="minorEastAsia" w:hAnsiTheme="minorEastAsia" w:eastAsiaTheme="minorEastAsia"/>
          <w:bCs/>
          <w:sz w:val="23"/>
          <w:szCs w:val="23"/>
        </w:rPr>
        <w:t>★</w:t>
      </w:r>
      <w:r>
        <w:rPr>
          <w:rFonts w:hint="eastAsia" w:cs="Times New Roman" w:asciiTheme="minorEastAsia" w:hAnsiTheme="minorEastAsia" w:eastAsiaTheme="minorEastAsia"/>
          <w:bCs/>
          <w:sz w:val="28"/>
          <w:szCs w:val="28"/>
        </w:rPr>
        <w:t>5、声学监测输入:可调到 2 到 30 倍采样 音量可调；</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6、具有过载指示器（红色 LED）</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7、输入灵敏度（最大值）：-43.2dbv =41dBU =6.9mVrms；</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8、输入灵敏度（最小值）：-3.2dbv =1dBU =0.69Vrms；</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9、增益调整电位：40 分贝连续范围；</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10、输入阻抗：50 千欧姆；</w:t>
      </w:r>
    </w:p>
    <w:p>
      <w:pPr>
        <w:spacing w:line="240" w:lineRule="auto"/>
        <w:rPr>
          <w:rFonts w:cs="Times New Roman" w:asciiTheme="minorEastAsia" w:hAnsiTheme="minorEastAsia" w:eastAsiaTheme="minorEastAsia"/>
          <w:b/>
          <w:sz w:val="28"/>
          <w:szCs w:val="28"/>
        </w:rPr>
      </w:pPr>
      <w:r>
        <w:rPr>
          <w:rFonts w:hint="eastAsia" w:cs="Times New Roman" w:asciiTheme="minorEastAsia" w:hAnsiTheme="minorEastAsia" w:eastAsiaTheme="minorEastAsia"/>
          <w:b/>
          <w:sz w:val="28"/>
          <w:szCs w:val="28"/>
        </w:rPr>
        <w:t>11、分析软件要求：</w:t>
      </w:r>
    </w:p>
    <w:p>
      <w:pPr>
        <w:spacing w:line="240" w:lineRule="auto"/>
        <w:rPr>
          <w:rFonts w:cs="Times New Roman" w:asciiTheme="minorEastAsia" w:hAnsiTheme="minorEastAsia" w:eastAsiaTheme="minorEastAsia"/>
          <w:bCs/>
          <w:sz w:val="28"/>
          <w:szCs w:val="28"/>
        </w:rPr>
      </w:pPr>
      <w:r>
        <w:rPr>
          <w:rFonts w:hint="eastAsia" w:cs="宋体" w:asciiTheme="minorEastAsia" w:hAnsiTheme="minorEastAsia" w:eastAsiaTheme="minorEastAsia"/>
          <w:bCs/>
          <w:sz w:val="23"/>
          <w:szCs w:val="23"/>
        </w:rPr>
        <w:t>★</w:t>
      </w:r>
      <w:r>
        <w:rPr>
          <w:rFonts w:hint="eastAsia" w:cs="Times New Roman" w:asciiTheme="minorEastAsia" w:hAnsiTheme="minorEastAsia" w:eastAsiaTheme="minorEastAsia"/>
          <w:bCs/>
          <w:sz w:val="28"/>
          <w:szCs w:val="28"/>
        </w:rPr>
        <w:t>11.1、应支持所有的常见声卡和 USB 音频接口，能打开已由固态/硬盘现场记录的.wav 和.bwf 文件。</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11.2、能导入使用第三方导入使用第三方录音/处理工具（.WAV.BWF.AIF..SND..AU.各种二进制格式和.txt）</w:t>
      </w:r>
    </w:p>
    <w:p>
      <w:pPr>
        <w:spacing w:line="240" w:lineRule="auto"/>
        <w:rPr>
          <w:rFonts w:cs="Times New Roman" w:asciiTheme="minorEastAsia" w:hAnsiTheme="minorEastAsia" w:eastAsiaTheme="minorEastAsia"/>
          <w:bCs/>
          <w:sz w:val="28"/>
          <w:szCs w:val="28"/>
        </w:rPr>
      </w:pPr>
      <w:r>
        <w:rPr>
          <w:rFonts w:hint="eastAsia" w:cs="宋体" w:asciiTheme="minorEastAsia" w:hAnsiTheme="minorEastAsia" w:eastAsiaTheme="minorEastAsia"/>
          <w:bCs/>
          <w:sz w:val="23"/>
          <w:szCs w:val="23"/>
        </w:rPr>
        <w:t>★</w:t>
      </w:r>
      <w:r>
        <w:rPr>
          <w:rFonts w:hint="eastAsia" w:cs="Times New Roman" w:asciiTheme="minorEastAsia" w:hAnsiTheme="minorEastAsia" w:eastAsiaTheme="minorEastAsia"/>
          <w:bCs/>
          <w:sz w:val="28"/>
          <w:szCs w:val="28"/>
        </w:rPr>
        <w:t>11.3、能将图像和测量结果作为文件（.wmf..bmp..tif..txt.htm..xml..sql）导出，通过剪贴板或通过 DDE 直接导出到 Excel</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11.4、具有颜色编码须谱图（FFT 大小为 64-1024 点），使用 TrueType 字体输出高质量频谱图。</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11.5、有循环缓冲记录的实时频谱图显示；</w:t>
      </w:r>
    </w:p>
    <w:p>
      <w:pPr>
        <w:spacing w:line="240" w:lineRule="auto"/>
        <w:rPr>
          <w:rFonts w:cs="Times New Roman" w:asciiTheme="minorEastAsia" w:hAnsiTheme="minorEastAsia" w:eastAsiaTheme="minorEastAsia"/>
          <w:bCs/>
          <w:sz w:val="28"/>
          <w:szCs w:val="28"/>
        </w:rPr>
      </w:pPr>
      <w:r>
        <w:rPr>
          <w:rFonts w:hint="eastAsia" w:cs="宋体" w:asciiTheme="minorEastAsia" w:hAnsiTheme="minorEastAsia" w:eastAsiaTheme="minorEastAsia"/>
          <w:bCs/>
          <w:sz w:val="23"/>
          <w:szCs w:val="23"/>
        </w:rPr>
        <w:t>★</w:t>
      </w:r>
      <w:r>
        <w:rPr>
          <w:rFonts w:hint="eastAsia" w:cs="Times New Roman" w:asciiTheme="minorEastAsia" w:hAnsiTheme="minorEastAsia" w:eastAsiaTheme="minorEastAsia"/>
          <w:bCs/>
          <w:sz w:val="28"/>
          <w:szCs w:val="28"/>
        </w:rPr>
        <w:t>11.6、用于去除噪声的数字滤波；</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 xml:space="preserve">11.7、多功能自动声音参数测量和分类设施（事件检测，分析，分类和统计）； </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11.8、幅度和功率谱，线性预测编码（LPC），自相关和互相关，倒谱，直方图，2D 和 3D 散点图，3D 瀑布显示，脉冲密度直方图，使用希尔伯特变换的包络和瞬时频率，使用 FFT 技术的移频，均方根，用于声谱图比较的声音相似性矩阵；</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11.9、超声回波（全谱）超声记录；</w:t>
      </w:r>
    </w:p>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二、服务要求</w:t>
      </w:r>
    </w:p>
    <w:p>
      <w:pPr>
        <w:adjustRightInd/>
        <w:snapToGrid/>
        <w:spacing w:before="100" w:beforeAutospacing="1" w:after="100" w:afterAutospacing="1"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技术培训：卖方负责派专业技术人员到学校进行集中培训，使其能熟练掌握仪器的各项性能（包括硬件和软件）。在仪器使用集中培训以后，若买方仍有技术问题，卖方在任何时候，都应在48小时以内提供详细技术方案并予以解决。</w:t>
      </w:r>
    </w:p>
    <w:p>
      <w:pPr>
        <w:adjustRightInd/>
        <w:snapToGrid/>
        <w:spacing w:before="100" w:beforeAutospacing="1" w:after="100" w:afterAutospacing="1" w:line="240" w:lineRule="auto"/>
        <w:ind w:left="79" w:leftChars="36"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保修期：免费质保期壹年，终身维修，自验收合格之日起算，并提供相关承诺书。质保期内发生任何设备损坏，所需要的维修费用（包括零部件费用、维修费用）均由卖方承担（人为操作不当造成的损坏除外）。</w:t>
      </w:r>
    </w:p>
    <w:p>
      <w:pPr>
        <w:adjustRightInd/>
        <w:snapToGrid/>
        <w:spacing w:before="100" w:beforeAutospacing="1" w:after="100" w:afterAutospacing="1" w:line="240" w:lineRule="auto"/>
        <w:ind w:left="79" w:leftChars="36"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adjustRightInd/>
        <w:snapToGrid/>
        <w:spacing w:before="100" w:beforeAutospacing="1" w:after="100" w:afterAutospacing="1" w:line="240" w:lineRule="auto"/>
        <w:ind w:left="79" w:leftChars="36"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4.卖方免费提供由专业工程师现场指导的移机服务，并安装、调试。</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三、安装要求</w:t>
      </w:r>
    </w:p>
    <w:p>
      <w:pPr>
        <w:spacing w:line="240" w:lineRule="auto"/>
        <w:ind w:left="319" w:leftChars="145"/>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240" w:lineRule="auto"/>
        <w:ind w:left="319" w:leftChars="145"/>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2.设备安装调试：仪器到货后，卖方在接到通知的7个工作日内派人前往负责该设备的安装、调试和操作培训，直至达到各项验收指标合格。</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四、交货期、交货方式及交货地点</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 交货期：合同签订生效后，进口设备（免税）三个月内、国产设备及进口设备（非免税）一个月内全部设备、材料运抵现场，并安装、调试结束，验收合格，交付买方使用</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 交货方式：中标人在买方指定地点交货，并完成安装、调试。</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3. 交货地点：南京医科大学。</w:t>
      </w:r>
    </w:p>
    <w:p>
      <w:pPr>
        <w:adjustRightInd/>
        <w:snapToGrid/>
        <w:spacing w:before="100" w:beforeAutospacing="1" w:after="100" w:afterAutospacing="1"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4.交付使用要同时向采购人提供详细的技术文件、安装记录等，同时提供两份产品使用说明书。</w:t>
      </w:r>
    </w:p>
    <w:p>
      <w:pPr>
        <w:adjustRightInd/>
        <w:snapToGrid/>
        <w:spacing w:before="100" w:beforeAutospacing="1" w:after="100" w:afterAutospacing="1"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五、其他技术服务需求：</w:t>
      </w:r>
    </w:p>
    <w:p>
      <w:pPr>
        <w:adjustRightInd/>
        <w:snapToGrid/>
        <w:spacing w:before="100" w:beforeAutospacing="1" w:after="100" w:afterAutospacing="1" w:line="240" w:lineRule="auto"/>
        <w:ind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1.供应商须保证本次投标产品系优质材料和先进工艺制成新出厂的产品，且完全与投标文件所述相符。</w:t>
      </w:r>
    </w:p>
    <w:p>
      <w:pPr>
        <w:pStyle w:val="33"/>
        <w:spacing w:line="240" w:lineRule="auto"/>
        <w:ind w:firstLine="56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2、交付使用前发生的产品硬件损坏和不合格，一律退换新品。在质保期开始前三个月内，若发生产品损坏和性能不合格（非使用不当原因造成），除采购人同意修理者外，亦应退换新品。</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六、货款支付</w:t>
      </w:r>
    </w:p>
    <w:p>
      <w:pPr>
        <w:pStyle w:val="2"/>
        <w:keepNext w:val="0"/>
        <w:keepLines/>
        <w:spacing w:line="240" w:lineRule="auto"/>
        <w:ind w:firstLine="560" w:firstLineChars="200"/>
        <w:jc w:val="left"/>
        <w:rPr>
          <w:rFonts w:asciiTheme="minorEastAsia" w:hAnsiTheme="minorEastAsia" w:eastAsiaTheme="minorEastAsia"/>
          <w:bCs/>
        </w:rPr>
      </w:pPr>
      <w:r>
        <w:rPr>
          <w:rFonts w:hint="eastAsia" w:asciiTheme="minorEastAsia" w:hAnsiTheme="minorEastAsia" w:eastAsiaTheme="minorEastAsia"/>
          <w:bCs/>
        </w:rPr>
        <w:t>货到正常运行后以15天为验收期限，验收期满或验收合格后付全款；</w:t>
      </w:r>
    </w:p>
    <w:p>
      <w:pPr>
        <w:pStyle w:val="33"/>
        <w:spacing w:line="360" w:lineRule="auto"/>
        <w:ind w:firstLine="560"/>
        <w:rPr>
          <w:rFonts w:ascii="宋体" w:hAnsi="宋体" w:eastAsia="宋体" w:cs="宋体"/>
          <w:color w:val="000000"/>
          <w:sz w:val="28"/>
          <w:szCs w:val="28"/>
        </w:rPr>
      </w:pPr>
    </w:p>
    <w:p>
      <w:pPr>
        <w:pStyle w:val="15"/>
        <w:spacing w:line="0" w:lineRule="atLeast"/>
        <w:rPr>
          <w:rFonts w:cs="Times New Roman" w:asciiTheme="minorEastAsia" w:hAnsiTheme="minorEastAsia" w:eastAsiaTheme="minorEastAsia"/>
          <w:kern w:val="2"/>
          <w:sz w:val="28"/>
          <w:szCs w:val="28"/>
        </w:rPr>
      </w:pPr>
      <w:bookmarkStart w:id="166" w:name="_Toc401414769"/>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bookmarkEnd w:id="166"/>
    <w:bookmarkEnd w:id="167"/>
    <w:p>
      <w:pPr>
        <w:pStyle w:val="2"/>
        <w:keepNext w:val="0"/>
        <w:keepLines/>
        <w:spacing w:line="360" w:lineRule="auto"/>
        <w:ind w:firstLine="883" w:firstLineChars="200"/>
        <w:rPr>
          <w:rFonts w:ascii="宋体" w:hAnsi="宋体" w:eastAsia="宋体"/>
          <w:bCs/>
          <w:sz w:val="44"/>
          <w:szCs w:val="44"/>
        </w:rPr>
      </w:pPr>
      <w:bookmarkStart w:id="168" w:name="_Toc523931349"/>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hint="eastAsia"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983"/>
        <w:gridCol w:w="5611"/>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序号</w:t>
            </w:r>
          </w:p>
        </w:tc>
        <w:tc>
          <w:tcPr>
            <w:tcW w:w="19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评分因素</w:t>
            </w:r>
          </w:p>
        </w:tc>
        <w:tc>
          <w:tcPr>
            <w:tcW w:w="56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评审细则</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（30分）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保留到小数点后面两位数）</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53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（45分）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根据各投标产品的先进性、匹配性、可靠性、稳定性以及质量、性能酌情打分，较好4-5分，一般2-3分，其他0-1分。</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3"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line="240" w:lineRule="auto"/>
              <w:rPr>
                <w:rFonts w:ascii="Arial" w:hAnsi="Arial" w:cs="Arial"/>
                <w:bCs/>
                <w:sz w:val="23"/>
                <w:szCs w:val="23"/>
              </w:rPr>
            </w:pPr>
          </w:p>
        </w:tc>
        <w:tc>
          <w:tcPr>
            <w:tcW w:w="1983"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line="240" w:lineRule="auto"/>
              <w:rPr>
                <w:rFonts w:cs="Arial" w:asciiTheme="minorEastAsia" w:hAnsiTheme="minorEastAsia" w:eastAsiaTheme="minorEastAsia"/>
                <w:bCs/>
                <w:sz w:val="23"/>
                <w:szCs w:val="23"/>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1、满足招标文件技术指标、参数要求的得36分（" ★"项的为主要指标，不满足的每项减6分；其他每有一项偏离减4分；负偏离</w:t>
            </w:r>
            <w:r>
              <w:rPr>
                <w:rFonts w:hint="eastAsia" w:ascii="宋体" w:hAnsi="宋体" w:eastAsia="宋体" w:cs="宋体"/>
                <w:bCs/>
                <w:sz w:val="23"/>
                <w:szCs w:val="23"/>
              </w:rPr>
              <w:t>≥</w:t>
            </w:r>
            <w:r>
              <w:rPr>
                <w:rFonts w:hint="eastAsia" w:cs="宋体" w:asciiTheme="minorEastAsia" w:hAnsiTheme="minorEastAsia" w:eastAsiaTheme="minorEastAsia"/>
                <w:bCs/>
                <w:sz w:val="23"/>
                <w:szCs w:val="23"/>
              </w:rPr>
              <w:t>3项的不得分.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3" w:type="dxa"/>
            <w:vMerge w:val="restart"/>
            <w:tcBorders>
              <w:top w:val="single" w:color="auto" w:sz="4" w:space="0"/>
              <w:left w:val="single" w:color="auto" w:sz="4" w:space="0"/>
              <w:bottom w:val="single" w:color="auto" w:sz="4" w:space="0"/>
              <w:right w:val="single" w:color="auto" w:sz="4" w:space="0"/>
            </w:tcBorders>
            <w:vAlign w:val="center"/>
          </w:tcPr>
          <w:p>
            <w:pPr>
              <w:spacing w:line="256" w:lineRule="auto"/>
              <w:jc w:val="center"/>
              <w:rPr>
                <w:rFonts w:ascii="Arial" w:hAnsi="Arial" w:cs="Arial"/>
                <w:bCs/>
                <w:sz w:val="23"/>
                <w:szCs w:val="23"/>
              </w:rPr>
            </w:pPr>
            <w:r>
              <w:rPr>
                <w:rFonts w:hint="eastAsia" w:ascii="宋体" w:hAnsi="宋体" w:eastAsia="宋体" w:cs="宋体"/>
                <w:bCs/>
                <w:sz w:val="21"/>
                <w:szCs w:val="21"/>
              </w:rPr>
              <w:t>3.2</w:t>
            </w:r>
          </w:p>
        </w:tc>
        <w:tc>
          <w:tcPr>
            <w:tcW w:w="1983"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adjustRightInd/>
              <w:snapToGrid/>
              <w:spacing w:after="0" w:line="256" w:lineRule="auto"/>
              <w:jc w:val="center"/>
              <w:rPr>
                <w:rFonts w:ascii="Arial" w:hAnsi="Arial" w:cs="Arial"/>
                <w:bCs/>
                <w:sz w:val="23"/>
                <w:szCs w:val="23"/>
              </w:rPr>
            </w:pPr>
            <w:r>
              <w:rPr>
                <w:rFonts w:hint="eastAsia" w:ascii="宋体" w:hAnsi="宋体" w:eastAsia="宋体" w:cs="宋体"/>
                <w:bCs/>
                <w:sz w:val="21"/>
                <w:szCs w:val="21"/>
              </w:rPr>
              <w:t>（15分）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方案完整、合理可行的得8-10分；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方案较完整、较合理可行的得5-7分；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798" w:type="dxa"/>
            <w:tcBorders>
              <w:top w:val="single" w:color="auto" w:sz="4" w:space="0"/>
              <w:left w:val="single" w:color="auto" w:sz="4" w:space="0"/>
              <w:bottom w:val="single" w:color="auto" w:sz="4" w:space="0"/>
              <w:right w:val="single" w:color="auto" w:sz="4" w:space="0"/>
            </w:tcBorders>
            <w:vAlign w:val="center"/>
          </w:tcPr>
          <w:p>
            <w:pPr>
              <w:spacing w:line="256"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3"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line="240" w:lineRule="auto"/>
              <w:rPr>
                <w:rFonts w:ascii="Arial" w:hAnsi="Arial" w:cs="Arial"/>
                <w:bCs/>
                <w:sz w:val="23"/>
                <w:szCs w:val="23"/>
              </w:rPr>
            </w:pPr>
          </w:p>
        </w:tc>
        <w:tc>
          <w:tcPr>
            <w:tcW w:w="1983"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line="240" w:lineRule="auto"/>
              <w:rPr>
                <w:rFonts w:ascii="Arial" w:hAnsi="Arial" w:cs="Arial"/>
                <w:bCs/>
                <w:sz w:val="23"/>
                <w:szCs w:val="23"/>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tcBorders>
              <w:top w:val="single" w:color="auto" w:sz="4" w:space="0"/>
              <w:left w:val="single" w:color="auto" w:sz="4" w:space="0"/>
              <w:bottom w:val="single" w:color="auto" w:sz="4" w:space="0"/>
              <w:right w:val="single" w:color="auto" w:sz="4" w:space="0"/>
            </w:tcBorders>
            <w:vAlign w:val="center"/>
          </w:tcPr>
          <w:p>
            <w:pPr>
              <w:spacing w:line="256" w:lineRule="auto"/>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3"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line="240" w:lineRule="auto"/>
              <w:rPr>
                <w:rFonts w:ascii="Arial" w:hAnsi="Arial" w:cs="Arial"/>
                <w:bCs/>
                <w:sz w:val="23"/>
                <w:szCs w:val="23"/>
              </w:rPr>
            </w:pPr>
          </w:p>
        </w:tc>
        <w:tc>
          <w:tcPr>
            <w:tcW w:w="1983"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line="240" w:lineRule="auto"/>
              <w:rPr>
                <w:rFonts w:ascii="Arial" w:hAnsi="Arial" w:cs="Arial"/>
                <w:bCs/>
                <w:sz w:val="23"/>
                <w:szCs w:val="23"/>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免费质保2年得1分，在此基础上每增加一年得1分，最高不超过3分。</w:t>
            </w:r>
          </w:p>
        </w:tc>
        <w:tc>
          <w:tcPr>
            <w:tcW w:w="798" w:type="dxa"/>
            <w:tcBorders>
              <w:top w:val="single" w:color="auto" w:sz="4" w:space="0"/>
              <w:left w:val="single" w:color="auto" w:sz="4" w:space="0"/>
              <w:bottom w:val="single" w:color="auto" w:sz="4" w:space="0"/>
              <w:right w:val="single" w:color="auto" w:sz="4" w:space="0"/>
            </w:tcBorders>
            <w:vAlign w:val="center"/>
          </w:tcPr>
          <w:p>
            <w:pPr>
              <w:spacing w:line="256" w:lineRule="auto"/>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3" w:type="dxa"/>
            <w:tcBorders>
              <w:top w:val="single" w:color="auto" w:sz="4" w:space="0"/>
              <w:left w:val="single" w:color="auto" w:sz="4" w:space="0"/>
              <w:bottom w:val="single" w:color="auto" w:sz="4" w:space="0"/>
              <w:right w:val="single" w:color="auto" w:sz="4" w:space="0"/>
            </w:tcBorders>
            <w:vAlign w:val="center"/>
          </w:tcPr>
          <w:p>
            <w:pPr>
              <w:spacing w:line="360" w:lineRule="auto"/>
              <w:ind w:right="-275" w:rightChars="-125"/>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业绩（5分）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投标人2016年01月01日以来的类似项目业绩，每提供一个得1分，最高得5分。 （请提供有效的加盖公章的合同复印件，原件备查）</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投标人财务与信誉状况（3分）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 xml:space="preserve">对投标人财务、经营状况、企业信誉等级和所获得的荣誉等进行评审。 </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3"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对招标文件响应程度（2分）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根据投标文件对招标文件商务、技术等要求的响应程度评审。</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pStyle w:val="2"/>
        <w:pageBreakBefore/>
        <w:rPr>
          <w:rFonts w:ascii="宋体" w:hAnsi="宋体" w:eastAsia="宋体"/>
          <w:b/>
          <w:bCs/>
          <w:sz w:val="44"/>
        </w:rPr>
      </w:pPr>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49090576"/>
      <w:bookmarkStart w:id="172" w:name="_Toc26554094"/>
      <w:bookmarkStart w:id="173"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671380"/>
      <w:bookmarkEnd w:id="176"/>
      <w:bookmarkStart w:id="177" w:name="_格式3__银行出具的资信证明"/>
      <w:bookmarkEnd w:id="177"/>
      <w:bookmarkStart w:id="178" w:name="_Hlt26955070"/>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宋体" w:hAnsi="宋体" w:eastAsia="宋体"/>
          <w:b/>
          <w:bCs/>
          <w:sz w:val="36"/>
          <w:szCs w:val="36"/>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lang w:eastAsia="zh-CN"/>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lang w:eastAsia="zh-CN"/>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lang w:val="en-US" w:eastAsia="zh-CN"/>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lang w:val="en-US" w:eastAsia="zh-CN"/>
        </w:rPr>
        <w:t>-免税】</w:t>
      </w:r>
      <w:r>
        <w:rPr>
          <w:rFonts w:asciiTheme="minorEastAsia" w:hAnsiTheme="minorEastAsia" w:eastAsiaTheme="minorEastAsia"/>
          <w:sz w:val="24"/>
          <w:szCs w:val="28"/>
        </w:rPr>
        <w:t>：根据委托代理进口协议，甲方与                      外贸代理公司进行结算。</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90DAC44"/>
    <w:multiLevelType w:val="singleLevel"/>
    <w:tmpl w:val="690DAC44"/>
    <w:lvl w:ilvl="0" w:tentative="0">
      <w:start w:val="3"/>
      <w:numFmt w:val="chineseCounting"/>
      <w:suff w:val="nothing"/>
      <w:lvlText w:val="（%1）"/>
      <w:lvlJc w:val="left"/>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08B1"/>
    <w:rsid w:val="001B424C"/>
    <w:rsid w:val="001B679C"/>
    <w:rsid w:val="001B6A78"/>
    <w:rsid w:val="001C20DD"/>
    <w:rsid w:val="001C2E89"/>
    <w:rsid w:val="001C4B26"/>
    <w:rsid w:val="001C64AC"/>
    <w:rsid w:val="001D0768"/>
    <w:rsid w:val="001D281C"/>
    <w:rsid w:val="001D477F"/>
    <w:rsid w:val="001D5A6A"/>
    <w:rsid w:val="001E030A"/>
    <w:rsid w:val="001E1FD2"/>
    <w:rsid w:val="001E4020"/>
    <w:rsid w:val="001E4159"/>
    <w:rsid w:val="001E5F10"/>
    <w:rsid w:val="001E73B5"/>
    <w:rsid w:val="001F2051"/>
    <w:rsid w:val="001F4F63"/>
    <w:rsid w:val="001F6C92"/>
    <w:rsid w:val="0020432E"/>
    <w:rsid w:val="00206503"/>
    <w:rsid w:val="002070F5"/>
    <w:rsid w:val="00210C70"/>
    <w:rsid w:val="00232127"/>
    <w:rsid w:val="002327D4"/>
    <w:rsid w:val="002409EE"/>
    <w:rsid w:val="002415CF"/>
    <w:rsid w:val="00244DA0"/>
    <w:rsid w:val="002453B7"/>
    <w:rsid w:val="0025535E"/>
    <w:rsid w:val="00257C1E"/>
    <w:rsid w:val="00266C11"/>
    <w:rsid w:val="00271FF3"/>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5130"/>
    <w:rsid w:val="00336542"/>
    <w:rsid w:val="00340774"/>
    <w:rsid w:val="00341D73"/>
    <w:rsid w:val="00343344"/>
    <w:rsid w:val="00344696"/>
    <w:rsid w:val="003525A5"/>
    <w:rsid w:val="003538BE"/>
    <w:rsid w:val="00363CE9"/>
    <w:rsid w:val="0036460C"/>
    <w:rsid w:val="00365285"/>
    <w:rsid w:val="00370EF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90FE0"/>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43B"/>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689B"/>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03A"/>
    <w:rsid w:val="007327F0"/>
    <w:rsid w:val="00732820"/>
    <w:rsid w:val="0074740B"/>
    <w:rsid w:val="00747556"/>
    <w:rsid w:val="007543D9"/>
    <w:rsid w:val="00754FBF"/>
    <w:rsid w:val="00755373"/>
    <w:rsid w:val="00767F9E"/>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7736D"/>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118C2"/>
    <w:rsid w:val="00A157F0"/>
    <w:rsid w:val="00A205F4"/>
    <w:rsid w:val="00A25E57"/>
    <w:rsid w:val="00A4464F"/>
    <w:rsid w:val="00A46E8D"/>
    <w:rsid w:val="00A478D2"/>
    <w:rsid w:val="00A53055"/>
    <w:rsid w:val="00A536D3"/>
    <w:rsid w:val="00A63CCE"/>
    <w:rsid w:val="00A64A8A"/>
    <w:rsid w:val="00A67624"/>
    <w:rsid w:val="00A719C8"/>
    <w:rsid w:val="00A75462"/>
    <w:rsid w:val="00A754E0"/>
    <w:rsid w:val="00A76F31"/>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113A"/>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6FCE"/>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36A1F"/>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F807FC"/>
    <w:rsid w:val="03034970"/>
    <w:rsid w:val="06A67F5B"/>
    <w:rsid w:val="071D3318"/>
    <w:rsid w:val="08284001"/>
    <w:rsid w:val="08ED385C"/>
    <w:rsid w:val="097F3FF3"/>
    <w:rsid w:val="09841AA5"/>
    <w:rsid w:val="09E00F8C"/>
    <w:rsid w:val="0ADA47CA"/>
    <w:rsid w:val="0BF267B2"/>
    <w:rsid w:val="0C180EBA"/>
    <w:rsid w:val="0D7C3718"/>
    <w:rsid w:val="0F752313"/>
    <w:rsid w:val="0FBE7322"/>
    <w:rsid w:val="0FD1242C"/>
    <w:rsid w:val="10B26CB4"/>
    <w:rsid w:val="119B32F6"/>
    <w:rsid w:val="145816CD"/>
    <w:rsid w:val="14CF6F43"/>
    <w:rsid w:val="14F817DB"/>
    <w:rsid w:val="151B0E99"/>
    <w:rsid w:val="17864F68"/>
    <w:rsid w:val="17A13BD0"/>
    <w:rsid w:val="18A80505"/>
    <w:rsid w:val="18DE5A24"/>
    <w:rsid w:val="1B0767C7"/>
    <w:rsid w:val="1BD874CB"/>
    <w:rsid w:val="1C2657EA"/>
    <w:rsid w:val="1C534421"/>
    <w:rsid w:val="1D700F38"/>
    <w:rsid w:val="1DE36E39"/>
    <w:rsid w:val="2028292B"/>
    <w:rsid w:val="21A863BD"/>
    <w:rsid w:val="224B6541"/>
    <w:rsid w:val="22D94F0A"/>
    <w:rsid w:val="22DB2151"/>
    <w:rsid w:val="23711F72"/>
    <w:rsid w:val="24911BB8"/>
    <w:rsid w:val="25086568"/>
    <w:rsid w:val="29021183"/>
    <w:rsid w:val="29985913"/>
    <w:rsid w:val="2AB10F4B"/>
    <w:rsid w:val="2AD96EC2"/>
    <w:rsid w:val="2B036B1C"/>
    <w:rsid w:val="2C7E03BB"/>
    <w:rsid w:val="2D82734B"/>
    <w:rsid w:val="2DA207F9"/>
    <w:rsid w:val="303B1173"/>
    <w:rsid w:val="30CA663E"/>
    <w:rsid w:val="311B0FC8"/>
    <w:rsid w:val="314463F4"/>
    <w:rsid w:val="32CD7129"/>
    <w:rsid w:val="335D39F0"/>
    <w:rsid w:val="34A91215"/>
    <w:rsid w:val="358A4D6F"/>
    <w:rsid w:val="364C2779"/>
    <w:rsid w:val="368E5A53"/>
    <w:rsid w:val="37291A7B"/>
    <w:rsid w:val="37302267"/>
    <w:rsid w:val="39670A7B"/>
    <w:rsid w:val="3A6C60EB"/>
    <w:rsid w:val="3AF26830"/>
    <w:rsid w:val="3BFC2D93"/>
    <w:rsid w:val="3CAE3B50"/>
    <w:rsid w:val="3D0342E9"/>
    <w:rsid w:val="3D077115"/>
    <w:rsid w:val="3E6A131D"/>
    <w:rsid w:val="3F1C226C"/>
    <w:rsid w:val="3F721165"/>
    <w:rsid w:val="40571BFD"/>
    <w:rsid w:val="40855E5C"/>
    <w:rsid w:val="415D2F4E"/>
    <w:rsid w:val="41CD28F3"/>
    <w:rsid w:val="41DA727A"/>
    <w:rsid w:val="43680372"/>
    <w:rsid w:val="440D1E8B"/>
    <w:rsid w:val="45BB0D03"/>
    <w:rsid w:val="45E71721"/>
    <w:rsid w:val="46AD692D"/>
    <w:rsid w:val="46E7241A"/>
    <w:rsid w:val="47322D1B"/>
    <w:rsid w:val="475A7BD4"/>
    <w:rsid w:val="485F2A5A"/>
    <w:rsid w:val="48E661FF"/>
    <w:rsid w:val="49605258"/>
    <w:rsid w:val="49C2736E"/>
    <w:rsid w:val="4A887833"/>
    <w:rsid w:val="4ABD1A46"/>
    <w:rsid w:val="4AF53C79"/>
    <w:rsid w:val="4D1937FE"/>
    <w:rsid w:val="4DB926A4"/>
    <w:rsid w:val="4E7A146B"/>
    <w:rsid w:val="4FE9596A"/>
    <w:rsid w:val="5048408D"/>
    <w:rsid w:val="521C6C0C"/>
    <w:rsid w:val="52D36703"/>
    <w:rsid w:val="53EF6773"/>
    <w:rsid w:val="542E79C3"/>
    <w:rsid w:val="55944ECA"/>
    <w:rsid w:val="56747820"/>
    <w:rsid w:val="56AA4F2E"/>
    <w:rsid w:val="57034DC0"/>
    <w:rsid w:val="57AB2572"/>
    <w:rsid w:val="57AE2BB5"/>
    <w:rsid w:val="59521601"/>
    <w:rsid w:val="5A6F07B8"/>
    <w:rsid w:val="5ACB40C5"/>
    <w:rsid w:val="5AE621E7"/>
    <w:rsid w:val="5B56726E"/>
    <w:rsid w:val="5E714DDE"/>
    <w:rsid w:val="61DB5282"/>
    <w:rsid w:val="61F8565D"/>
    <w:rsid w:val="62961058"/>
    <w:rsid w:val="62CD3F75"/>
    <w:rsid w:val="64103D49"/>
    <w:rsid w:val="645977C7"/>
    <w:rsid w:val="647B20AC"/>
    <w:rsid w:val="67B062B6"/>
    <w:rsid w:val="680B4B52"/>
    <w:rsid w:val="6A951211"/>
    <w:rsid w:val="6C14114D"/>
    <w:rsid w:val="6C2A57B1"/>
    <w:rsid w:val="70961EDC"/>
    <w:rsid w:val="71740794"/>
    <w:rsid w:val="718B7658"/>
    <w:rsid w:val="71A01282"/>
    <w:rsid w:val="72C0140A"/>
    <w:rsid w:val="739C62E2"/>
    <w:rsid w:val="74D3092F"/>
    <w:rsid w:val="75D67914"/>
    <w:rsid w:val="77C80D59"/>
    <w:rsid w:val="78B6127A"/>
    <w:rsid w:val="79635C6E"/>
    <w:rsid w:val="7A1A2023"/>
    <w:rsid w:val="7A33597D"/>
    <w:rsid w:val="7A912352"/>
    <w:rsid w:val="7B281D3D"/>
    <w:rsid w:val="7B97155F"/>
    <w:rsid w:val="7BB40185"/>
    <w:rsid w:val="7C284D70"/>
    <w:rsid w:val="7E5604AB"/>
    <w:rsid w:val="7FB140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F31B45-D766-477C-A7CF-EBB07E01579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2334</Words>
  <Characters>13309</Characters>
  <Lines>110</Lines>
  <Paragraphs>31</Paragraphs>
  <TotalTime>2</TotalTime>
  <ScaleCrop>false</ScaleCrop>
  <LinksUpToDate>false</LinksUpToDate>
  <CharactersWithSpaces>15612</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2019-04-25T15:29:00Z</dcterms:created>
  <dc:creator>chenle</dc:creator>
  <cp:lastModifiedBy>lenovo</cp:lastModifiedBy>
  <dcterms:modified xsi:type="dcterms:W3CDTF">2019-10-16T03:24:09Z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