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b/>
          <w:bCs/>
          <w:sz w:val="32"/>
          <w:szCs w:val="32"/>
        </w:rPr>
      </w:pPr>
      <w:r>
        <w:rPr>
          <w:rFonts w:hint="eastAsia"/>
          <w:b/>
          <w:bCs/>
          <w:sz w:val="32"/>
        </w:rPr>
        <w:t>项目名称：全自动化学发光、荧光图像分析系统</w:t>
      </w:r>
      <w:r>
        <w:rPr>
          <w:rFonts w:hint="eastAsia" w:asciiTheme="minorEastAsia" w:hAnsiTheme="minorEastAsia" w:eastAsiaTheme="minorEastAsia"/>
          <w:b/>
          <w:sz w:val="32"/>
          <w:szCs w:val="32"/>
        </w:rPr>
        <w:t>购置</w:t>
      </w:r>
      <w:r>
        <w:rPr>
          <w:rFonts w:hint="eastAsia" w:asciiTheme="minorEastAsia" w:hAnsiTheme="minorEastAsia" w:eastAsiaTheme="minorEastAsia"/>
          <w:b/>
          <w:bCs/>
          <w:sz w:val="32"/>
          <w:szCs w:val="32"/>
        </w:rPr>
        <w:t>项目</w:t>
      </w:r>
    </w:p>
    <w:p>
      <w:pPr>
        <w:pStyle w:val="27"/>
        <w:ind w:firstLine="0"/>
        <w:jc w:val="center"/>
        <w:rPr>
          <w:b/>
          <w:bCs/>
          <w:sz w:val="32"/>
        </w:rPr>
      </w:pPr>
      <w:r>
        <w:rPr>
          <w:rFonts w:hint="eastAsia"/>
          <w:b/>
          <w:bCs/>
          <w:sz w:val="32"/>
        </w:rPr>
        <w:t>项目编号：NJMUZB3012019016</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16938516"/>
      <w:bookmarkStart w:id="4" w:name="_Toc20823272"/>
      <w:bookmarkStart w:id="5" w:name="_Toc523127445"/>
      <w:bookmarkStart w:id="6" w:name="_Toc47975720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after="0" w:line="500" w:lineRule="exact"/>
        <w:ind w:firstLine="560" w:firstLineChars="200"/>
        <w:rPr>
          <w:rFonts w:asciiTheme="minorEastAsia" w:hAnsiTheme="minorEastAsia" w:eastAsiaTheme="minorEastAsia"/>
          <w:sz w:val="28"/>
          <w:szCs w:val="28"/>
        </w:rPr>
      </w:pPr>
      <w:bookmarkStart w:id="8" w:name="_Toc16938558"/>
      <w:bookmarkStart w:id="9" w:name="_Toc513029242"/>
      <w:bookmarkStart w:id="10" w:name="_Toc120614221"/>
      <w:bookmarkStart w:id="11" w:name="OLE_LINK1"/>
      <w:bookmarkStart w:id="12" w:name="_Toc120614211"/>
      <w:bookmarkStart w:id="13" w:name="_Toc444669970"/>
      <w:bookmarkStart w:id="14" w:name="_Toc20823314"/>
      <w:bookmarkStart w:id="15" w:name="_Toc479757207"/>
      <w:bookmarkStart w:id="16" w:name="OLE_LINK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全自动化学发光、荧光图像分析系统</w:t>
      </w:r>
      <w:r>
        <w:rPr>
          <w:rFonts w:hint="eastAsia" w:asciiTheme="minorEastAsia" w:hAnsiTheme="minorEastAsia" w:eastAsiaTheme="minorEastAsia"/>
          <w:sz w:val="28"/>
          <w:szCs w:val="28"/>
        </w:rPr>
        <w:t>采购项目公开招标，相应资金已落实，欢迎符合招标公告资质要求的供应商前来投标。</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after="0" w:line="500" w:lineRule="exact"/>
        <w:ind w:left="3639" w:leftChars="254" w:hanging="3080" w:hangingChars="11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（一）采购项目名称：全自动化学发光、荧光图像分析系统</w:t>
      </w:r>
    </w:p>
    <w:p>
      <w:pPr>
        <w:spacing w:after="0" w:line="500" w:lineRule="exact"/>
        <w:ind w:left="3632" w:leftChars="1651" w:firstLine="1120" w:firstLineChars="400"/>
        <w:rPr>
          <w:rFonts w:asciiTheme="minorEastAsia" w:hAnsiTheme="minorEastAsia" w:eastAsiaTheme="minorEastAsia"/>
          <w:sz w:val="28"/>
          <w:szCs w:val="28"/>
        </w:rPr>
      </w:pPr>
      <w:r>
        <w:rPr>
          <w:rFonts w:hint="eastAsia" w:asciiTheme="minorEastAsia" w:hAnsiTheme="minorEastAsia" w:eastAsiaTheme="minorEastAsia"/>
          <w:sz w:val="28"/>
          <w:szCs w:val="28"/>
        </w:rPr>
        <w:t>购置项目</w:t>
      </w:r>
    </w:p>
    <w:p>
      <w:pPr>
        <w:spacing w:after="0" w:line="500" w:lineRule="exact"/>
        <w:ind w:firstLine="560" w:firstLineChars="200"/>
        <w:rPr>
          <w:rFonts w:asciiTheme="minorEastAsia" w:hAnsiTheme="minorEastAsia" w:eastAsiaTheme="minorEastAsia"/>
          <w:b/>
          <w:sz w:val="28"/>
          <w:szCs w:val="28"/>
        </w:rPr>
      </w:pPr>
      <w:r>
        <w:rPr>
          <w:rFonts w:hint="eastAsia" w:asciiTheme="minorEastAsia" w:hAnsiTheme="minorEastAsia" w:eastAsiaTheme="minorEastAsia"/>
          <w:sz w:val="28"/>
          <w:szCs w:val="28"/>
        </w:rPr>
        <w:t>（二）采购项目编号：NJMUZB3012019016</w:t>
      </w:r>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bookmarkStart w:id="17" w:name="_Hlk2018820"/>
      <w:r>
        <w:rPr>
          <w:rFonts w:hint="eastAsia" w:asciiTheme="minorEastAsia" w:hAnsiTheme="minorEastAsia" w:eastAsiaTheme="minorEastAsia"/>
          <w:sz w:val="28"/>
          <w:szCs w:val="28"/>
        </w:rPr>
        <w:t xml:space="preserve">    </w:t>
      </w:r>
      <w:r>
        <w:rPr>
          <w:rFonts w:hint="eastAsia" w:asciiTheme="minorEastAsia" w:hAnsiTheme="minorEastAsia" w:eastAsiaTheme="minorEastAsia"/>
          <w:bCs/>
          <w:sz w:val="28"/>
          <w:szCs w:val="28"/>
        </w:rPr>
        <w:t xml:space="preserve">预算：￥ </w:t>
      </w:r>
      <w:r>
        <w:rPr>
          <w:rFonts w:hint="eastAsia" w:asciiTheme="minorEastAsia" w:hAnsiTheme="minorEastAsia" w:eastAsiaTheme="minorEastAsia"/>
          <w:sz w:val="28"/>
          <w:szCs w:val="28"/>
        </w:rPr>
        <w:t>10万</w:t>
      </w:r>
    </w:p>
    <w:bookmarkEnd w:id="17"/>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（一）项目具体要求详见第三章：项目需求；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（二）进口设备一律采用人民币报价(包干价)，其他币种报价不予接受，后果由投标人承担。</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（三）如为进口设备，需提供免税报价。</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pStyle w:val="7"/>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asciiTheme="minorEastAsia" w:hAnsiTheme="minorEastAsia" w:eastAsiaTheme="minorEastAsia"/>
          <w:sz w:val="28"/>
          <w:szCs w:val="28"/>
        </w:rPr>
        <w:t>符合政府采购法第二</w:t>
      </w:r>
      <w:r>
        <w:rPr>
          <w:rFonts w:hint="eastAsia" w:asciiTheme="minorEastAsia" w:hAnsiTheme="minorEastAsia" w:eastAsiaTheme="minorEastAsia"/>
          <w:sz w:val="28"/>
          <w:szCs w:val="28"/>
        </w:rPr>
        <w:t>十二条第一款规定的条件，并提供下列材料</w:t>
      </w:r>
      <w:r>
        <w:rPr>
          <w:rFonts w:hint="eastAsia" w:asciiTheme="minorEastAsia" w:hAnsiTheme="minorEastAsia" w:eastAsiaTheme="minorEastAsia"/>
          <w:b/>
          <w:bCs/>
          <w:sz w:val="28"/>
          <w:szCs w:val="28"/>
        </w:rPr>
        <w:t>（注：分别提供纸质材料并加盖公章，原件备查）</w:t>
      </w:r>
      <w:r>
        <w:rPr>
          <w:rFonts w:hint="eastAsia"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2、2017或2018年度的</w:t>
      </w:r>
      <w:r>
        <w:rPr>
          <w:rFonts w:asciiTheme="minorEastAsia" w:hAnsiTheme="minorEastAsia" w:eastAsiaTheme="minorEastAsia"/>
          <w:sz w:val="28"/>
          <w:szCs w:val="28"/>
        </w:rPr>
        <w:t>财务状况报告</w:t>
      </w:r>
      <w:r>
        <w:rPr>
          <w:rFonts w:hint="eastAsia"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投标文件接收开始时间：2019年04月11日上午8:30（北京时间）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投标文件接收截止时间：2019年04月11日上午9:15（北京时间）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r>
        <w:rPr>
          <w:rFonts w:asciiTheme="minorEastAsia" w:hAnsiTheme="minorEastAsia" w:eastAsiaTheme="minorEastAsia"/>
          <w:sz w:val="24"/>
          <w:szCs w:val="24"/>
          <w:u w:val="single"/>
        </w:rPr>
        <w:t xml:space="preserve">                             </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2019年04月11日上午9:15（北京时间）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 025-86868572 </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项目需求方联系人：唐老师</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 13770847753</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8" w:name="_Toc523931346"/>
      <w:r>
        <w:rPr>
          <w:rFonts w:hint="eastAsia" w:asciiTheme="majorEastAsia" w:hAnsiTheme="majorEastAsia" w:eastAsiaTheme="majorEastAsia"/>
          <w:b/>
          <w:sz w:val="44"/>
        </w:rPr>
        <w:t xml:space="preserve">第二章  </w:t>
      </w:r>
      <w:bookmarkStart w:id="19" w:name="_Toc513029202"/>
      <w:bookmarkStart w:id="20" w:name="_Toc120614213"/>
      <w:bookmarkStart w:id="21" w:name="_Toc16938518"/>
      <w:bookmarkStart w:id="22" w:name="_Toc20823274"/>
      <w:r>
        <w:rPr>
          <w:rFonts w:hint="eastAsia" w:asciiTheme="majorEastAsia" w:hAnsiTheme="majorEastAsia" w:eastAsiaTheme="majorEastAsia"/>
          <w:b/>
          <w:sz w:val="44"/>
        </w:rPr>
        <w:t>投标人须知</w:t>
      </w:r>
      <w:bookmarkEnd w:id="18"/>
      <w:bookmarkEnd w:id="19"/>
      <w:bookmarkEnd w:id="20"/>
      <w:bookmarkEnd w:id="21"/>
      <w:bookmarkEnd w:id="22"/>
    </w:p>
    <w:p>
      <w:pPr>
        <w:pStyle w:val="27"/>
        <w:rPr>
          <w:b/>
          <w:sz w:val="28"/>
          <w:szCs w:val="28"/>
        </w:rPr>
      </w:pPr>
      <w:bookmarkStart w:id="23" w:name="_Toc16938519"/>
      <w:bookmarkStart w:id="24" w:name="_Toc120614214"/>
      <w:bookmarkStart w:id="25" w:name="_Toc20823275"/>
      <w:bookmarkStart w:id="26" w:name="_Toc513029203"/>
      <w:r>
        <w:rPr>
          <w:rFonts w:hint="eastAsia"/>
          <w:b/>
          <w:sz w:val="28"/>
          <w:szCs w:val="28"/>
        </w:rPr>
        <w:t>一、总则</w:t>
      </w:r>
      <w:bookmarkEnd w:id="23"/>
      <w:bookmarkEnd w:id="24"/>
      <w:bookmarkEnd w:id="25"/>
      <w:bookmarkEnd w:id="26"/>
    </w:p>
    <w:p>
      <w:pPr>
        <w:pStyle w:val="27"/>
        <w:rPr>
          <w:b/>
          <w:bCs/>
          <w:sz w:val="28"/>
          <w:szCs w:val="28"/>
        </w:rPr>
      </w:pPr>
      <w:bookmarkStart w:id="27" w:name="_Hlt16619475"/>
      <w:bookmarkEnd w:id="27"/>
      <w:bookmarkStart w:id="28" w:name="_Toc458694821"/>
      <w:bookmarkStart w:id="29" w:name="_Toc16938520"/>
      <w:bookmarkStart w:id="30" w:name="_Toc20823276"/>
      <w:bookmarkStart w:id="31" w:name="_Toc513029204"/>
      <w:r>
        <w:rPr>
          <w:rFonts w:hint="eastAsia"/>
          <w:b/>
          <w:bCs/>
          <w:sz w:val="28"/>
          <w:szCs w:val="28"/>
        </w:rPr>
        <w:t>1</w:t>
      </w:r>
      <w:bookmarkEnd w:id="28"/>
      <w:r>
        <w:rPr>
          <w:rFonts w:hint="eastAsia"/>
          <w:b/>
          <w:bCs/>
          <w:sz w:val="28"/>
          <w:szCs w:val="28"/>
        </w:rPr>
        <w:t>、招标方式</w:t>
      </w:r>
      <w:bookmarkEnd w:id="29"/>
      <w:bookmarkEnd w:id="30"/>
      <w:bookmarkEnd w:id="31"/>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2" w:name="_Toc20823277"/>
      <w:bookmarkStart w:id="33" w:name="_Toc16938521"/>
      <w:bookmarkStart w:id="34" w:name="_Toc513029205"/>
      <w:r>
        <w:rPr>
          <w:rFonts w:hint="eastAsia"/>
          <w:b/>
          <w:bCs/>
          <w:sz w:val="28"/>
          <w:szCs w:val="28"/>
        </w:rPr>
        <w:t>2、合格的投标人</w:t>
      </w:r>
      <w:bookmarkEnd w:id="32"/>
      <w:bookmarkEnd w:id="33"/>
      <w:bookmarkEnd w:id="34"/>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5" w:name="_Toc513029206"/>
      <w:bookmarkStart w:id="36" w:name="_Toc20823278"/>
      <w:bookmarkStart w:id="37" w:name="_Toc16938522"/>
      <w:r>
        <w:rPr>
          <w:rFonts w:hint="eastAsia"/>
          <w:b/>
          <w:bCs/>
          <w:sz w:val="28"/>
          <w:szCs w:val="28"/>
        </w:rPr>
        <w:t>3、适用法律</w:t>
      </w:r>
      <w:bookmarkEnd w:id="35"/>
      <w:bookmarkEnd w:id="36"/>
      <w:bookmarkEnd w:id="37"/>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8" w:name="_Toc462564067"/>
      <w:bookmarkStart w:id="39" w:name="_Toc513029207"/>
      <w:bookmarkStart w:id="40" w:name="_Toc16938523"/>
      <w:bookmarkStart w:id="41" w:name="_Toc20823279"/>
      <w:r>
        <w:rPr>
          <w:rFonts w:hint="eastAsia"/>
          <w:b/>
          <w:bCs/>
          <w:sz w:val="28"/>
          <w:szCs w:val="28"/>
        </w:rPr>
        <w:t>4、投标费用</w:t>
      </w:r>
      <w:bookmarkEnd w:id="38"/>
      <w:bookmarkEnd w:id="39"/>
      <w:bookmarkEnd w:id="40"/>
      <w:bookmarkEnd w:id="41"/>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2" w:name="_Toc20823281"/>
      <w:bookmarkStart w:id="43" w:name="_Toc16938525"/>
      <w:bookmarkStart w:id="44" w:name="_Toc120614215"/>
      <w:bookmarkStart w:id="45" w:name="_Toc513029209"/>
      <w:bookmarkStart w:id="46" w:name="_Toc517190883"/>
      <w:r>
        <w:rPr>
          <w:rFonts w:hint="eastAsia"/>
          <w:b/>
          <w:sz w:val="28"/>
          <w:szCs w:val="28"/>
        </w:rPr>
        <w:t>二、招标文件</w:t>
      </w:r>
      <w:bookmarkEnd w:id="42"/>
      <w:bookmarkEnd w:id="43"/>
      <w:bookmarkEnd w:id="44"/>
      <w:bookmarkEnd w:id="45"/>
      <w:bookmarkEnd w:id="46"/>
    </w:p>
    <w:p>
      <w:pPr>
        <w:pStyle w:val="27"/>
        <w:rPr>
          <w:b/>
          <w:bCs/>
          <w:sz w:val="28"/>
          <w:szCs w:val="28"/>
        </w:rPr>
      </w:pPr>
      <w:bookmarkStart w:id="47" w:name="_Toc513029210"/>
      <w:bookmarkStart w:id="48" w:name="_Toc16938526"/>
      <w:bookmarkStart w:id="49" w:name="_Toc20823282"/>
      <w:r>
        <w:rPr>
          <w:rFonts w:hint="eastAsia"/>
          <w:b/>
          <w:bCs/>
          <w:sz w:val="28"/>
          <w:szCs w:val="28"/>
        </w:rPr>
        <w:t>6、招标文件构成</w:t>
      </w:r>
      <w:bookmarkEnd w:id="47"/>
      <w:bookmarkEnd w:id="48"/>
      <w:bookmarkEnd w:id="49"/>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50" w:name="_Toc16938527"/>
      <w:bookmarkStart w:id="51" w:name="_Toc513029211"/>
      <w:bookmarkStart w:id="52" w:name="_Toc20823283"/>
      <w:bookmarkStart w:id="53" w:name="_Toc462564070"/>
      <w:r>
        <w:rPr>
          <w:rFonts w:hint="eastAsia"/>
          <w:b/>
          <w:bCs/>
          <w:sz w:val="28"/>
          <w:szCs w:val="28"/>
        </w:rPr>
        <w:t>7、招标文件的澄清</w:t>
      </w:r>
      <w:bookmarkEnd w:id="50"/>
      <w:bookmarkEnd w:id="51"/>
      <w:bookmarkEnd w:id="52"/>
      <w:bookmarkEnd w:id="53"/>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4" w:name="_Toc20823284"/>
      <w:bookmarkStart w:id="55" w:name="_Toc462564071"/>
      <w:bookmarkStart w:id="56" w:name="_Toc16938528"/>
      <w:bookmarkStart w:id="57" w:name="_Toc513029212"/>
      <w:r>
        <w:rPr>
          <w:rFonts w:hint="eastAsia"/>
          <w:b/>
          <w:bCs/>
          <w:sz w:val="28"/>
          <w:szCs w:val="28"/>
        </w:rPr>
        <w:t>8、招标文件的修改</w:t>
      </w:r>
      <w:bookmarkEnd w:id="54"/>
      <w:bookmarkEnd w:id="55"/>
      <w:bookmarkEnd w:id="56"/>
      <w:bookmarkEnd w:id="57"/>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8" w:name="_Toc513029213"/>
      <w:bookmarkStart w:id="59" w:name="_Toc20823285"/>
      <w:bookmarkStart w:id="60" w:name="_Toc120614216"/>
      <w:bookmarkStart w:id="61" w:name="_Toc462564072"/>
      <w:bookmarkStart w:id="62" w:name="_Toc517190884"/>
      <w:bookmarkStart w:id="63" w:name="_Toc16938529"/>
      <w:r>
        <w:rPr>
          <w:rFonts w:hint="eastAsia"/>
          <w:b/>
          <w:sz w:val="28"/>
          <w:szCs w:val="28"/>
        </w:rPr>
        <w:t>三、投标文件的编制</w:t>
      </w:r>
      <w:bookmarkEnd w:id="58"/>
      <w:bookmarkEnd w:id="59"/>
      <w:bookmarkEnd w:id="60"/>
      <w:bookmarkEnd w:id="61"/>
      <w:bookmarkEnd w:id="62"/>
      <w:bookmarkEnd w:id="63"/>
    </w:p>
    <w:p>
      <w:pPr>
        <w:pStyle w:val="27"/>
        <w:rPr>
          <w:bCs/>
          <w:sz w:val="28"/>
          <w:szCs w:val="28"/>
        </w:rPr>
      </w:pPr>
      <w:bookmarkStart w:id="64" w:name="_Toc462564073"/>
      <w:bookmarkStart w:id="65" w:name="_Toc20823286"/>
      <w:bookmarkStart w:id="66" w:name="_Toc513029214"/>
      <w:bookmarkStart w:id="67" w:name="_Toc16938530"/>
      <w:r>
        <w:rPr>
          <w:rFonts w:hint="eastAsia"/>
          <w:b/>
          <w:bCs/>
          <w:sz w:val="28"/>
          <w:szCs w:val="28"/>
        </w:rPr>
        <w:t>9、投标文件的语言及度量衡单位</w:t>
      </w:r>
      <w:bookmarkEnd w:id="64"/>
      <w:bookmarkEnd w:id="65"/>
      <w:bookmarkEnd w:id="66"/>
      <w:bookmarkEnd w:id="67"/>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8" w:name="_Toc513029215"/>
      <w:bookmarkStart w:id="69" w:name="_Toc462564074"/>
      <w:bookmarkStart w:id="70" w:name="_Toc16938531"/>
      <w:bookmarkStart w:id="71" w:name="_Toc20823287"/>
      <w:r>
        <w:rPr>
          <w:rFonts w:hint="eastAsia"/>
          <w:b/>
          <w:bCs/>
          <w:sz w:val="28"/>
          <w:szCs w:val="28"/>
        </w:rPr>
        <w:t>10、投标文件构成</w:t>
      </w:r>
      <w:bookmarkEnd w:id="68"/>
      <w:bookmarkEnd w:id="69"/>
      <w:bookmarkEnd w:id="70"/>
      <w:bookmarkEnd w:id="71"/>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2" w:name="_Hlt26670360"/>
      <w:bookmarkEnd w:id="72"/>
      <w:bookmarkStart w:id="73" w:name="_Hlt26668975"/>
      <w:bookmarkEnd w:id="73"/>
      <w:bookmarkStart w:id="74" w:name="_Hlt26954838"/>
      <w:bookmarkEnd w:id="74"/>
      <w:bookmarkStart w:id="75" w:name="_Toc49090509"/>
      <w:bookmarkStart w:id="76" w:name="_Toc513029219"/>
      <w:bookmarkStart w:id="77" w:name="_Toc14577357"/>
      <w:bookmarkStart w:id="78" w:name="_Toc14577354"/>
      <w:bookmarkStart w:id="79" w:name="_Toc49090507"/>
      <w:bookmarkStart w:id="80" w:name="_Toc513029216"/>
      <w:r>
        <w:rPr>
          <w:rFonts w:hint="eastAsia"/>
          <w:b/>
          <w:bCs/>
          <w:sz w:val="28"/>
          <w:szCs w:val="28"/>
        </w:rPr>
        <w:t>11、证明投标人资格及符合招标文件规定的文件</w:t>
      </w:r>
      <w:bookmarkEnd w:id="75"/>
      <w:bookmarkEnd w:id="76"/>
      <w:bookmarkEnd w:id="77"/>
    </w:p>
    <w:p>
      <w:pPr>
        <w:pStyle w:val="27"/>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8"/>
    <w:bookmarkEnd w:id="79"/>
    <w:bookmarkEnd w:id="80"/>
    <w:p>
      <w:pPr>
        <w:pStyle w:val="27"/>
        <w:rPr>
          <w:b/>
          <w:bCs/>
          <w:sz w:val="28"/>
          <w:szCs w:val="28"/>
        </w:rPr>
      </w:pPr>
      <w:bookmarkStart w:id="82" w:name="_Toc14577355"/>
      <w:bookmarkStart w:id="83" w:name="_Toc49090508"/>
      <w:r>
        <w:rPr>
          <w:rFonts w:hint="eastAsia"/>
          <w:b/>
          <w:bCs/>
          <w:sz w:val="28"/>
          <w:szCs w:val="28"/>
        </w:rPr>
        <w:t>12、供货一览表与分项报价</w:t>
      </w:r>
      <w:bookmarkEnd w:id="82"/>
      <w:bookmarkStart w:id="84" w:name="_Hlt26670373"/>
      <w:bookmarkEnd w:id="84"/>
      <w:r>
        <w:rPr>
          <w:rFonts w:hint="eastAsia"/>
          <w:b/>
          <w:bCs/>
          <w:sz w:val="28"/>
          <w:szCs w:val="28"/>
        </w:rPr>
        <w:t>表</w:t>
      </w:r>
      <w:bookmarkEnd w:id="83"/>
    </w:p>
    <w:p>
      <w:pPr>
        <w:pStyle w:val="27"/>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7" w:name="_Hlt26668983"/>
      <w:bookmarkEnd w:id="87"/>
      <w:bookmarkStart w:id="88" w:name="_Hlt26954842"/>
      <w:bookmarkEnd w:id="88"/>
      <w:bookmarkStart w:id="89" w:name="_Hlt26670425"/>
      <w:bookmarkEnd w:id="89"/>
      <w:bookmarkStart w:id="90" w:name="_Hlt26954844"/>
      <w:bookmarkEnd w:id="90"/>
      <w:bookmarkStart w:id="91" w:name="_Hlt26670403"/>
      <w:bookmarkEnd w:id="91"/>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2" w:name="_Hlt26670486"/>
      <w:bookmarkEnd w:id="92"/>
      <w:bookmarkStart w:id="93" w:name="_Hlt26954846"/>
      <w:bookmarkEnd w:id="93"/>
      <w:bookmarkStart w:id="94" w:name="_Hlt26954848"/>
      <w:bookmarkEnd w:id="94"/>
      <w:bookmarkStart w:id="95" w:name="_Hlt26954731"/>
      <w:bookmarkEnd w:id="95"/>
      <w:bookmarkStart w:id="96" w:name="_Hlt26670482"/>
      <w:bookmarkEnd w:id="96"/>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7" w:name="_Toc14577359"/>
      <w:bookmarkStart w:id="98" w:name="_Toc49090510"/>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7"/>
      <w:bookmarkEnd w:id="98"/>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9" w:name="_Hlt26954852"/>
      <w:bookmarkEnd w:id="99"/>
      <w:bookmarkStart w:id="100" w:name="_Hlt26670489"/>
      <w:bookmarkEnd w:id="100"/>
      <w:bookmarkStart w:id="101" w:name="_Hlt26954850"/>
      <w:bookmarkEnd w:id="101"/>
      <w:bookmarkStart w:id="102" w:name="_Hlt26954734"/>
      <w:bookmarkEnd w:id="102"/>
      <w:bookmarkStart w:id="103" w:name="_Hlt26954739"/>
      <w:bookmarkEnd w:id="103"/>
      <w:bookmarkStart w:id="104" w:name="_Toc14577361"/>
      <w:bookmarkStart w:id="105" w:name="_Toc49090512"/>
      <w:r>
        <w:rPr>
          <w:rFonts w:hint="eastAsia"/>
          <w:b/>
          <w:bCs/>
          <w:sz w:val="28"/>
          <w:szCs w:val="28"/>
        </w:rPr>
        <w:t>17、投标文件份数和签署</w:t>
      </w:r>
      <w:bookmarkEnd w:id="104"/>
      <w:bookmarkEnd w:id="105"/>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6" w:name="_Toc20823296"/>
      <w:bookmarkStart w:id="107" w:name="_Toc517190885"/>
      <w:bookmarkStart w:id="108" w:name="_Toc16938540"/>
      <w:bookmarkStart w:id="109" w:name="_Toc120614217"/>
      <w:bookmarkStart w:id="110" w:name="_Toc513029224"/>
      <w:r>
        <w:rPr>
          <w:rFonts w:hint="eastAsia"/>
          <w:b/>
          <w:sz w:val="28"/>
          <w:szCs w:val="28"/>
        </w:rPr>
        <w:t>四、投标文件的递交</w:t>
      </w:r>
      <w:bookmarkEnd w:id="106"/>
      <w:bookmarkEnd w:id="107"/>
      <w:bookmarkEnd w:id="108"/>
      <w:bookmarkEnd w:id="109"/>
      <w:bookmarkEnd w:id="110"/>
    </w:p>
    <w:p>
      <w:pPr>
        <w:pStyle w:val="27"/>
        <w:rPr>
          <w:b/>
          <w:bCs/>
          <w:sz w:val="28"/>
          <w:szCs w:val="28"/>
        </w:rPr>
      </w:pPr>
      <w:bookmarkStart w:id="111" w:name="_Toc20823297"/>
      <w:bookmarkStart w:id="112" w:name="_Toc16938541"/>
      <w:bookmarkStart w:id="113" w:name="_Toc513029225"/>
      <w:bookmarkStart w:id="114" w:name="_Toc462564084"/>
      <w:r>
        <w:rPr>
          <w:rFonts w:hint="eastAsia"/>
          <w:b/>
          <w:bCs/>
          <w:sz w:val="28"/>
          <w:szCs w:val="28"/>
        </w:rPr>
        <w:t>18、投标文件的密封和标记</w:t>
      </w:r>
      <w:bookmarkEnd w:id="111"/>
      <w:bookmarkEnd w:id="112"/>
      <w:bookmarkEnd w:id="113"/>
      <w:bookmarkEnd w:id="114"/>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5" w:name="_Toc20823298"/>
      <w:bookmarkStart w:id="116" w:name="_Toc16938542"/>
      <w:bookmarkStart w:id="117" w:name="_Toc513029226"/>
      <w:r>
        <w:rPr>
          <w:rFonts w:hint="eastAsia"/>
          <w:b/>
          <w:bCs/>
          <w:sz w:val="28"/>
          <w:szCs w:val="28"/>
        </w:rPr>
        <w:t>19、投标截止</w:t>
      </w:r>
      <w:bookmarkEnd w:id="115"/>
      <w:bookmarkEnd w:id="116"/>
      <w:bookmarkEnd w:id="117"/>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8" w:name="_Toc513029227"/>
      <w:bookmarkStart w:id="119" w:name="_Toc16938543"/>
      <w:bookmarkStart w:id="120" w:name="_Toc20823299"/>
      <w:r>
        <w:rPr>
          <w:rFonts w:hint="eastAsia"/>
          <w:b/>
          <w:bCs/>
          <w:sz w:val="28"/>
          <w:szCs w:val="28"/>
        </w:rPr>
        <w:t>20、投标文件</w:t>
      </w:r>
      <w:bookmarkEnd w:id="118"/>
      <w:bookmarkEnd w:id="119"/>
      <w:bookmarkEnd w:id="120"/>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1" w:name="_Toc16938544"/>
      <w:bookmarkStart w:id="122" w:name="_Toc20823300"/>
      <w:bookmarkStart w:id="123" w:name="_Toc513029228"/>
      <w:r>
        <w:rPr>
          <w:rFonts w:hint="eastAsia"/>
          <w:b/>
          <w:bCs/>
          <w:sz w:val="28"/>
          <w:szCs w:val="28"/>
        </w:rPr>
        <w:t>21、投标文件的修改和撤回</w:t>
      </w:r>
      <w:bookmarkEnd w:id="121"/>
      <w:bookmarkEnd w:id="122"/>
      <w:bookmarkEnd w:id="123"/>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4" w:name="_Toc120614218"/>
      <w:bookmarkStart w:id="125" w:name="_Toc16938545"/>
      <w:bookmarkStart w:id="126" w:name="_Toc517190886"/>
      <w:bookmarkStart w:id="127" w:name="_Toc20823301"/>
      <w:bookmarkStart w:id="128" w:name="_Toc513029229"/>
      <w:r>
        <w:rPr>
          <w:rFonts w:hint="eastAsia"/>
          <w:b/>
          <w:sz w:val="28"/>
          <w:szCs w:val="28"/>
        </w:rPr>
        <w:t>五、开标与评标</w:t>
      </w:r>
      <w:bookmarkEnd w:id="124"/>
      <w:bookmarkEnd w:id="125"/>
      <w:bookmarkEnd w:id="126"/>
      <w:bookmarkEnd w:id="127"/>
      <w:bookmarkEnd w:id="128"/>
    </w:p>
    <w:p>
      <w:pPr>
        <w:pStyle w:val="27"/>
        <w:rPr>
          <w:b/>
          <w:bCs/>
          <w:sz w:val="28"/>
          <w:szCs w:val="28"/>
        </w:rPr>
      </w:pPr>
      <w:bookmarkStart w:id="129" w:name="_Toc513029230"/>
      <w:bookmarkStart w:id="130" w:name="_Toc20823302"/>
      <w:bookmarkStart w:id="131" w:name="_Toc16938546"/>
      <w:r>
        <w:rPr>
          <w:rFonts w:hint="eastAsia"/>
          <w:b/>
          <w:bCs/>
          <w:sz w:val="28"/>
          <w:szCs w:val="28"/>
        </w:rPr>
        <w:t>22、开标</w:t>
      </w:r>
      <w:bookmarkEnd w:id="129"/>
      <w:bookmarkEnd w:id="130"/>
      <w:bookmarkEnd w:id="131"/>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2" w:name="_Toc16938547"/>
      <w:bookmarkStart w:id="133" w:name="_Toc513029231"/>
      <w:bookmarkStart w:id="134" w:name="_Toc20823303"/>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2"/>
    <w:bookmarkEnd w:id="133"/>
    <w:bookmarkEnd w:id="134"/>
    <w:p>
      <w:pPr>
        <w:pStyle w:val="27"/>
        <w:rPr>
          <w:b/>
          <w:bCs/>
          <w:sz w:val="28"/>
          <w:szCs w:val="28"/>
        </w:rPr>
      </w:pPr>
      <w:bookmarkStart w:id="135" w:name="_Toc513029232"/>
      <w:bookmarkStart w:id="136" w:name="_Toc20823304"/>
      <w:bookmarkStart w:id="137" w:name="_Toc16938548"/>
      <w:r>
        <w:rPr>
          <w:rFonts w:hint="eastAsia"/>
          <w:b/>
          <w:bCs/>
          <w:sz w:val="28"/>
          <w:szCs w:val="28"/>
        </w:rPr>
        <w:t>24．投标的澄清</w:t>
      </w:r>
      <w:bookmarkEnd w:id="135"/>
      <w:bookmarkEnd w:id="136"/>
      <w:bookmarkEnd w:id="137"/>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8" w:name="_Toc513029234"/>
      <w:bookmarkStart w:id="139" w:name="_Toc16938550"/>
      <w:bookmarkStart w:id="140" w:name="_Toc20823306"/>
      <w:r>
        <w:rPr>
          <w:rFonts w:hint="eastAsia"/>
          <w:b/>
          <w:bCs/>
          <w:sz w:val="28"/>
          <w:szCs w:val="28"/>
        </w:rPr>
        <w:t>25、</w:t>
      </w:r>
      <w:bookmarkEnd w:id="138"/>
      <w:bookmarkEnd w:id="139"/>
      <w:bookmarkEnd w:id="140"/>
      <w:r>
        <w:rPr>
          <w:rFonts w:hint="eastAsia"/>
          <w:b/>
          <w:bCs/>
          <w:sz w:val="28"/>
          <w:szCs w:val="28"/>
        </w:rPr>
        <w:t>无效投标条款和废标条款</w:t>
      </w:r>
    </w:p>
    <w:p>
      <w:pPr>
        <w:pStyle w:val="27"/>
        <w:rPr>
          <w:bCs/>
          <w:sz w:val="28"/>
          <w:szCs w:val="28"/>
        </w:rPr>
      </w:pPr>
      <w:bookmarkStart w:id="141" w:name="_Toc513029235"/>
      <w:bookmarkStart w:id="142" w:name="_Toc16938551"/>
      <w:bookmarkStart w:id="143" w:name="_Toc20823307"/>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4" w:name="_Toc120614219"/>
      <w:bookmarkStart w:id="145" w:name="_Toc517190887"/>
      <w:r>
        <w:rPr>
          <w:rFonts w:hint="eastAsia"/>
          <w:b/>
          <w:sz w:val="28"/>
          <w:szCs w:val="28"/>
        </w:rPr>
        <w:t>六、</w:t>
      </w:r>
      <w:bookmarkEnd w:id="141"/>
      <w:bookmarkEnd w:id="142"/>
      <w:bookmarkEnd w:id="143"/>
      <w:r>
        <w:rPr>
          <w:rFonts w:hint="eastAsia"/>
          <w:b/>
          <w:sz w:val="28"/>
          <w:szCs w:val="28"/>
        </w:rPr>
        <w:t>定标</w:t>
      </w:r>
      <w:bookmarkEnd w:id="144"/>
      <w:bookmarkEnd w:id="145"/>
    </w:p>
    <w:p>
      <w:pPr>
        <w:pStyle w:val="27"/>
        <w:rPr>
          <w:b/>
          <w:sz w:val="28"/>
          <w:szCs w:val="28"/>
        </w:rPr>
      </w:pPr>
      <w:bookmarkStart w:id="146" w:name="_Toc513029238"/>
      <w:bookmarkStart w:id="147" w:name="_Toc20823310"/>
      <w:bookmarkStart w:id="148" w:name="_Toc16938554"/>
      <w:r>
        <w:rPr>
          <w:rFonts w:hint="eastAsia"/>
          <w:b/>
          <w:sz w:val="28"/>
          <w:szCs w:val="28"/>
        </w:rPr>
        <w:t>26、</w:t>
      </w:r>
      <w:bookmarkEnd w:id="146"/>
      <w:r>
        <w:rPr>
          <w:rFonts w:hint="eastAsia"/>
          <w:b/>
          <w:sz w:val="28"/>
          <w:szCs w:val="28"/>
        </w:rPr>
        <w:t>确定</w:t>
      </w:r>
      <w:bookmarkEnd w:id="147"/>
      <w:bookmarkEnd w:id="148"/>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9" w:name="OLE_LINK4"/>
      <w:bookmarkStart w:id="150" w:name="OLE_LINK5"/>
      <w:bookmarkStart w:id="151" w:name="OLE_LINK7"/>
      <w:bookmarkStart w:id="152" w:name="OLE_LINK8"/>
      <w:bookmarkStart w:id="153" w:name="OLE_LINK3"/>
      <w:bookmarkStart w:id="154" w:name="OLE_LINK6"/>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5"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5"/>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6" w:name="_Toc120614220"/>
      <w:bookmarkStart w:id="157" w:name="_Toc517190888"/>
      <w:bookmarkStart w:id="158" w:name="_Toc513029236"/>
      <w:bookmarkStart w:id="159" w:name="_Toc16938552"/>
      <w:bookmarkStart w:id="160" w:name="_Toc20823308"/>
      <w:r>
        <w:rPr>
          <w:rFonts w:hint="eastAsia"/>
          <w:b/>
          <w:sz w:val="28"/>
          <w:szCs w:val="28"/>
        </w:rPr>
        <w:t>七、授予合同</w:t>
      </w:r>
      <w:bookmarkEnd w:id="156"/>
      <w:bookmarkEnd w:id="157"/>
    </w:p>
    <w:bookmarkEnd w:id="158"/>
    <w:bookmarkEnd w:id="159"/>
    <w:bookmarkEnd w:id="160"/>
    <w:p>
      <w:pPr>
        <w:pStyle w:val="27"/>
        <w:rPr>
          <w:b/>
          <w:sz w:val="28"/>
          <w:szCs w:val="28"/>
        </w:rPr>
      </w:pPr>
      <w:bookmarkStart w:id="161" w:name="_Toc20823309"/>
      <w:bookmarkStart w:id="162" w:name="_Toc513029237"/>
      <w:bookmarkStart w:id="163" w:name="_Toc16938553"/>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1"/>
    <w:bookmarkEnd w:id="162"/>
    <w:bookmarkEnd w:id="163"/>
    <w:p>
      <w:pPr>
        <w:pStyle w:val="27"/>
        <w:rPr>
          <w:b/>
          <w:sz w:val="28"/>
          <w:szCs w:val="28"/>
        </w:rPr>
      </w:pPr>
      <w:bookmarkStart w:id="164" w:name="_Toc517190889"/>
      <w:r>
        <w:rPr>
          <w:rFonts w:hint="eastAsia"/>
          <w:b/>
          <w:sz w:val="28"/>
          <w:szCs w:val="28"/>
        </w:rPr>
        <w:t>八、其他</w:t>
      </w:r>
      <w:bookmarkEnd w:id="164"/>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bookmarkStart w:id="165" w:name="_Toc523931347"/>
      <w:r>
        <w:rPr>
          <w:rFonts w:hint="eastAsia" w:asciiTheme="minorEastAsia" w:hAnsiTheme="minorEastAsia" w:eastAsiaTheme="minorEastAsia"/>
          <w:b/>
          <w:sz w:val="44"/>
          <w:szCs w:val="44"/>
        </w:rPr>
        <w:t>第三章   项目需求</w:t>
      </w:r>
      <w:bookmarkEnd w:id="165"/>
    </w:p>
    <w:p>
      <w:pPr>
        <w:pStyle w:val="33"/>
        <w:spacing w:line="360" w:lineRule="auto"/>
        <w:ind w:firstLine="440"/>
        <w:rPr>
          <w:rFonts w:ascii="Times New Roman" w:hAnsi="宋体" w:cs="宋体"/>
          <w:b/>
        </w:rPr>
      </w:pPr>
    </w:p>
    <w:p>
      <w:pPr>
        <w:pStyle w:val="15"/>
        <w:numPr>
          <w:ilvl w:val="0"/>
          <w:numId w:val="3"/>
        </w:numPr>
        <w:spacing w:line="0" w:lineRule="atLeas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技术参数</w:t>
      </w:r>
    </w:p>
    <w:p>
      <w:pPr>
        <w:ind w:firstLine="280" w:firstLineChars="100"/>
        <w:rPr>
          <w:rFonts w:asciiTheme="minorEastAsia" w:hAnsiTheme="minorEastAsia" w:eastAsiaTheme="minorEastAsia"/>
          <w:sz w:val="28"/>
          <w:szCs w:val="28"/>
        </w:rPr>
      </w:pPr>
      <w:r>
        <w:rPr>
          <w:rFonts w:cs="Times New Roman" w:asciiTheme="minorEastAsia" w:hAnsiTheme="minorEastAsia" w:eastAsiaTheme="minorEastAsia"/>
          <w:kern w:val="2"/>
          <w:sz w:val="28"/>
          <w:szCs w:val="28"/>
        </w:rPr>
        <w:t>（一）设备</w:t>
      </w:r>
      <w:r>
        <w:rPr>
          <w:rFonts w:hint="eastAsia" w:cs="Times New Roman" w:asciiTheme="minorEastAsia" w:hAnsiTheme="minorEastAsia" w:eastAsiaTheme="minorEastAsia"/>
          <w:kern w:val="2"/>
          <w:sz w:val="28"/>
          <w:szCs w:val="28"/>
        </w:rPr>
        <w:t>功能</w:t>
      </w:r>
      <w:r>
        <w:rPr>
          <w:rFonts w:cs="Times New Roman" w:asciiTheme="minorEastAsia" w:hAnsiTheme="minorEastAsia" w:eastAsiaTheme="minorEastAsia"/>
          <w:kern w:val="2"/>
          <w:sz w:val="28"/>
          <w:szCs w:val="28"/>
        </w:rPr>
        <w:t>：</w:t>
      </w:r>
      <w:r>
        <w:rPr>
          <w:rFonts w:hint="eastAsia" w:asciiTheme="minorEastAsia" w:hAnsiTheme="minorEastAsia" w:eastAsiaTheme="minorEastAsia"/>
          <w:sz w:val="28"/>
          <w:szCs w:val="28"/>
        </w:rPr>
        <w:t>化学发光/部分动植物活体成像</w:t>
      </w:r>
    </w:p>
    <w:p>
      <w:pPr>
        <w:pStyle w:val="15"/>
        <w:spacing w:line="0" w:lineRule="atLeast"/>
        <w:ind w:left="982" w:leftChars="128" w:hanging="700" w:hangingChars="250"/>
        <w:rPr>
          <w:rFonts w:asciiTheme="minorEastAsia" w:hAnsiTheme="minorEastAsia" w:eastAsiaTheme="minorEastAsia" w:cstheme="minorEastAsia"/>
          <w:b/>
          <w:sz w:val="28"/>
          <w:szCs w:val="28"/>
        </w:rPr>
      </w:pP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二</w:t>
      </w:r>
      <w:r>
        <w:rPr>
          <w:rFonts w:cs="Times New Roman" w:asciiTheme="minorEastAsia" w:hAnsiTheme="minorEastAsia" w:eastAsiaTheme="minorEastAsia"/>
          <w:kern w:val="2"/>
          <w:sz w:val="28"/>
          <w:szCs w:val="28"/>
        </w:rPr>
        <w:t>）技术参数要求：</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w:t>
      </w:r>
      <w:r>
        <w:rPr>
          <w:rFonts w:hint="eastAsia" w:cs="宋体" w:asciiTheme="minorEastAsia" w:hAnsiTheme="minorEastAsia" w:eastAsiaTheme="minorEastAsia"/>
          <w:color w:val="000000"/>
          <w:sz w:val="28"/>
          <w:szCs w:val="28"/>
        </w:rPr>
        <w:t>★</w:t>
      </w:r>
      <w:r>
        <w:rPr>
          <w:rFonts w:hint="eastAsia" w:asciiTheme="minorEastAsia" w:hAnsiTheme="minorEastAsia" w:eastAsiaTheme="minorEastAsia" w:cstheme="minorEastAsia"/>
          <w:sz w:val="28"/>
          <w:szCs w:val="28"/>
        </w:rPr>
        <w:t>摄像头：高分辨率低照度数码制冷相机</w:t>
      </w:r>
    </w:p>
    <w:p>
      <w:pPr>
        <w:ind w:firstLine="840" w:firstLineChars="3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（若所投产品为进口设备或其核心部件，需提供厂家授权证明）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2、感光芯片：CCD芯片：Sony ICX694(前照式感光芯片)</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3、冷却方式：半导体制冷</w:t>
      </w:r>
    </w:p>
    <w:p>
      <w:pPr>
        <w:ind w:left="1119" w:leftChars="254" w:hanging="560" w:hangingChars="200"/>
        <w:rPr>
          <w:rFonts w:asciiTheme="minorEastAsia" w:hAnsiTheme="minorEastAsia" w:eastAsiaTheme="minorEastAsia" w:cstheme="minorEastAsia"/>
          <w:sz w:val="28"/>
          <w:szCs w:val="28"/>
        </w:rPr>
      </w:pPr>
      <w:r>
        <w:rPr>
          <w:rFonts w:hint="eastAsia" w:cs="宋体" w:asciiTheme="minorEastAsia" w:hAnsiTheme="minorEastAsia" w:eastAsiaTheme="minorEastAsia"/>
          <w:color w:val="000000"/>
          <w:sz w:val="28"/>
          <w:szCs w:val="28"/>
        </w:rPr>
        <w:t>4、★</w:t>
      </w:r>
      <w:r>
        <w:rPr>
          <w:rFonts w:hint="eastAsia" w:asciiTheme="minorEastAsia" w:hAnsiTheme="minorEastAsia" w:eastAsiaTheme="minorEastAsia" w:cstheme="minorEastAsia"/>
          <w:sz w:val="28"/>
          <w:szCs w:val="28"/>
        </w:rPr>
        <w:t>冷却温度：低于环境温度65℃（绝对温度-40℃，动态实时显示CCD制冷温度）</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5、感光效率：</w:t>
      </w:r>
      <w:r>
        <w:rPr>
          <w:rFonts w:hint="eastAsia" w:asciiTheme="minorEastAsia" w:hAnsiTheme="minorEastAsia" w:eastAsiaTheme="minorEastAsia" w:cstheme="minorEastAsia"/>
          <w:b/>
          <w:sz w:val="28"/>
          <w:szCs w:val="28"/>
        </w:rPr>
        <w:t xml:space="preserve"> CCD</w:t>
      </w:r>
      <w:r>
        <w:rPr>
          <w:rFonts w:hint="eastAsia" w:asciiTheme="minorEastAsia" w:hAnsiTheme="minorEastAsia" w:eastAsiaTheme="minorEastAsia" w:cstheme="minorEastAsia"/>
          <w:sz w:val="28"/>
          <w:szCs w:val="28"/>
        </w:rPr>
        <w:t>芯片光电转换效率：</w:t>
      </w:r>
      <w:r>
        <w:rPr>
          <w:rFonts w:hint="eastAsia" w:asciiTheme="minorEastAsia" w:hAnsiTheme="minorEastAsia" w:eastAsiaTheme="minorEastAsia" w:cstheme="minorEastAsia"/>
          <w:bCs/>
          <w:sz w:val="28"/>
          <w:szCs w:val="28"/>
        </w:rPr>
        <w:t>High QE: &gt;75%</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6、暗电流：&lt;0.001 e-/pixel/sec. @ -35º C</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7、读出燥声：5.5e- RMS at 12 MHz</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8、有效像数：2750×2200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9、像数密度：16 bit （0 - 65535色）</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10、像数尺寸：4.54um×4.54um</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11、像素合并：1×1，2×2，3X3，4×4，5×5</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12、分辨率：605万像素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13、动态范围：﹥4.6个数量级</w:t>
      </w:r>
    </w:p>
    <w:p>
      <w:pPr>
        <w:ind w:left="1119" w:leftChars="254" w:hanging="560" w:hanging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14、</w:t>
      </w:r>
      <w:r>
        <w:rPr>
          <w:rFonts w:hint="eastAsia" w:cs="宋体" w:asciiTheme="minorEastAsia" w:hAnsiTheme="minorEastAsia" w:eastAsiaTheme="minorEastAsia"/>
          <w:color w:val="000000"/>
          <w:sz w:val="28"/>
          <w:szCs w:val="28"/>
        </w:rPr>
        <w:t>★</w:t>
      </w:r>
      <w:r>
        <w:rPr>
          <w:rFonts w:hint="eastAsia" w:asciiTheme="minorEastAsia" w:hAnsiTheme="minorEastAsia" w:eastAsiaTheme="minorEastAsia" w:cstheme="minorEastAsia"/>
          <w:sz w:val="28"/>
          <w:szCs w:val="28"/>
        </w:rPr>
        <w:t>F/0.85, 高清晰大口径高通透电动镜头，可通过计算机对焦距的电动调整</w:t>
      </w:r>
    </w:p>
    <w:p>
      <w:pPr>
        <w:ind w:left="1119" w:leftChars="254" w:hanging="560" w:hanging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15、双层抽板式载物平台，让western及DNA拍摄都很稳定便捷。</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16、激发光源：透射：302nm，白光；（可选配透射蓝光） </w:t>
      </w:r>
    </w:p>
    <w:p>
      <w:pPr>
        <w:ind w:left="360" w:firstLine="840" w:firstLineChars="3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LED反射白光灯（冷光）</w:t>
      </w:r>
    </w:p>
    <w:p>
      <w:pPr>
        <w:ind w:left="360" w:firstLine="840" w:firstLineChars="3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双侧反射：254nm，365nm（选配）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17、滤光片位置：5位电脑控制自动定位滤光片轮</w:t>
      </w:r>
    </w:p>
    <w:p>
      <w:pPr>
        <w:ind w:left="1119" w:leftChars="254" w:hanging="560" w:hanging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18、滤光片：标配590nm（EB/Gel Red/Biosafe/Gelsafe），可选配535nm、605nm、699nm波长</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19、拍摄面积：紫外：18×16cm  白光：15×15cm</w:t>
      </w:r>
    </w:p>
    <w:p>
      <w:pPr>
        <w:ind w:left="1119" w:leftChars="254" w:hanging="560" w:hangingChars="20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20、定时功能：用户可自行设定定时自动关闭紫外光源的时间（1～60分钟）</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（三）性能特点</w:t>
      </w:r>
    </w:p>
    <w:p>
      <w:pPr>
        <w:ind w:left="1118" w:leftChars="381" w:hanging="280" w:hanging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w:t>
      </w:r>
      <w:r>
        <w:rPr>
          <w:rFonts w:hint="eastAsia" w:cs="宋体" w:asciiTheme="minorEastAsia" w:hAnsiTheme="minorEastAsia" w:eastAsiaTheme="minorEastAsia"/>
          <w:color w:val="000000"/>
          <w:sz w:val="28"/>
          <w:szCs w:val="28"/>
        </w:rPr>
        <w:t>★</w:t>
      </w:r>
      <w:r>
        <w:rPr>
          <w:rFonts w:hint="eastAsia" w:asciiTheme="minorEastAsia" w:hAnsiTheme="minorEastAsia" w:eastAsiaTheme="minorEastAsia" w:cstheme="minorEastAsia"/>
          <w:sz w:val="28"/>
          <w:szCs w:val="28"/>
        </w:rPr>
        <w:t>F/0.85, 高清晰大口径高通透电动镜头与高灵敏度数码制冷CCD的硬件配置，使实验者摆脱烦琐的传统的暗室曝光方式，方便快速高效地获得化学发光的实验结果；</w:t>
      </w:r>
    </w:p>
    <w:p>
      <w:pPr>
        <w:ind w:firstLine="840" w:firstLineChars="3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2、可通过电脑进行聚焦、透射光源及反射光源的全自动控制；</w:t>
      </w:r>
    </w:p>
    <w:p>
      <w:pPr>
        <w:ind w:firstLine="840" w:firstLineChars="3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3、可通过电脑进行凝胶与化学发光图像的实时观测</w:t>
      </w:r>
    </w:p>
    <w:p>
      <w:pPr>
        <w:ind w:left="1118" w:leftChars="381" w:hanging="280" w:hanging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4、可设定连续采样的次数、起始及终止曝光时间，进行动态连续拍摄而方便获得最佳条件和效果的实验结果；</w:t>
      </w:r>
    </w:p>
    <w:p>
      <w:pPr>
        <w:ind w:left="1118" w:leftChars="381" w:hanging="280" w:hanging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5、通过生物发光（LUC）观察样本基因表达的变化， 可将底物工作液注射到样本瞬时表达区域的发光成像，和样本转化部位稳定转化的发光成像；</w:t>
      </w:r>
    </w:p>
    <w:p>
      <w:pPr>
        <w:ind w:left="1118" w:leftChars="381" w:hanging="280" w:hanging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6、根据生物标记GFP做植物筛选，以GFP作为报告基因被表达的的植物通过荧光激发后发射出绿光，成像后能明显区别于阴性样品。通过生物发光拍摄得基因构造小鼠（LUC）的药物聚集器官；</w:t>
      </w:r>
    </w:p>
    <w:p>
      <w:pPr>
        <w:ind w:left="1118" w:leftChars="381" w:hanging="280" w:hangingChars="100"/>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sz w:val="28"/>
          <w:szCs w:val="28"/>
        </w:rPr>
        <w:t>7、仪器操作软件：集荧光成像、生物发光成像、化学发光、紫外成像和白光成像五种活体成像仪器操作和数据处理和分析，包括所有拍摄参数的软件自动化设置与控制，成像的后期处理优化、两种或多种模式成像的图像叠加、定量分析、数据输出等；软件有记忆功能：可以保存设置用于下次成像；</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（1）保修期：免费质保期1年，自验收合格之日起算，并提供相关承诺书。质保期内发生任何设备损坏，所需要的维修费用（包括零部件费用、维修费用）均由卖方承担（人为操作不当造成的损坏除外）。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sz w:val="28"/>
          <w:szCs w:val="28"/>
        </w:rPr>
      </w:pPr>
      <w:r>
        <w:rPr>
          <w:rFonts w:hint="eastAsia" w:cs="Times New Roman" w:asciiTheme="minorEastAsia" w:hAnsiTheme="minorEastAsia" w:eastAsiaTheme="minorEastAsia"/>
          <w:kern w:val="2"/>
          <w:sz w:val="28"/>
          <w:szCs w:val="28"/>
        </w:rPr>
        <w:t>（2）</w:t>
      </w:r>
      <w:r>
        <w:rPr>
          <w:rFonts w:hint="eastAsia"/>
          <w:sz w:val="28"/>
          <w:szCs w:val="28"/>
        </w:rPr>
        <w:t>供应商应为采购方进行人员培训，</w:t>
      </w:r>
      <w:r>
        <w:rPr>
          <w:rFonts w:hint="eastAsia" w:asciiTheme="minorEastAsia" w:hAnsiTheme="minorEastAsia" w:eastAsiaTheme="minorEastAsia"/>
          <w:sz w:val="28"/>
          <w:szCs w:val="28"/>
        </w:rPr>
        <w:t>提供每年不少于1次的设备操作培训，</w:t>
      </w:r>
      <w:r>
        <w:rPr>
          <w:rFonts w:hint="eastAsia"/>
          <w:sz w:val="28"/>
          <w:szCs w:val="28"/>
        </w:rPr>
        <w:t>对人员培训不低于</w:t>
      </w:r>
      <w:r>
        <w:rPr>
          <w:rFonts w:hint="eastAsia"/>
          <w:sz w:val="28"/>
          <w:szCs w:val="28"/>
          <w:u w:val="single"/>
        </w:rPr>
        <w:t>2</w:t>
      </w:r>
      <w:r>
        <w:rPr>
          <w:rFonts w:hint="eastAsia"/>
          <w:sz w:val="28"/>
          <w:szCs w:val="28"/>
        </w:rPr>
        <w:t>人。</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asciiTheme="minorEastAsia" w:hAnsiTheme="minorEastAsia" w:eastAsiaTheme="minorEastAsia"/>
          <w:bCs/>
          <w:sz w:val="28"/>
          <w:szCs w:val="28"/>
        </w:rPr>
        <w:t>（3）售后技术服务要求：</w:t>
      </w:r>
      <w:r>
        <w:rPr>
          <w:rFonts w:hint="eastAsia"/>
        </w:rPr>
        <w:t>本地化服务要求（距采购人最近的服务网点情况表、服务响应时间等），</w:t>
      </w:r>
      <w:r>
        <w:rPr>
          <w:rFonts w:hint="eastAsia" w:asciiTheme="minorEastAsia" w:hAnsiTheme="minorEastAsia" w:eastAsiaTheme="minorEastAsia"/>
          <w:sz w:val="28"/>
          <w:szCs w:val="28"/>
        </w:rPr>
        <w:t>提供详细的售后服务计划。</w:t>
      </w:r>
    </w:p>
    <w:p>
      <w:pPr>
        <w:spacing w:line="360" w:lineRule="auto"/>
        <w:ind w:firstLine="562" w:firstLineChars="200"/>
        <w:rPr>
          <w:rFonts w:asciiTheme="minorEastAsia" w:hAnsiTheme="minorEastAsia" w:eastAsiaTheme="minorEastAsia"/>
          <w:b/>
          <w:bCs/>
          <w:sz w:val="28"/>
          <w:szCs w:val="28"/>
        </w:rPr>
      </w:pPr>
      <w:bookmarkStart w:id="166" w:name="_Toc401414769"/>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w:t>
      </w:r>
      <w:r>
        <w:rPr>
          <w:rFonts w:hint="eastAsia" w:cs="宋体" w:asciiTheme="minorEastAsia" w:hAnsiTheme="minorEastAsia" w:eastAsiaTheme="minorEastAsia"/>
          <w:color w:val="000000"/>
          <w:sz w:val="28"/>
          <w:szCs w:val="28"/>
          <w:highlight w:val="none"/>
        </w:rPr>
        <w:t>在质保期</w:t>
      </w:r>
      <w:r>
        <w:rPr>
          <w:rFonts w:hint="eastAsia" w:cs="宋体" w:asciiTheme="minorEastAsia" w:hAnsiTheme="minorEastAsia" w:eastAsiaTheme="minorEastAsia"/>
          <w:color w:val="000000"/>
          <w:sz w:val="28"/>
          <w:szCs w:val="28"/>
          <w:highlight w:val="none"/>
          <w:lang w:eastAsia="zh-CN"/>
        </w:rPr>
        <w:t>开始的</w:t>
      </w:r>
      <w:r>
        <w:rPr>
          <w:rFonts w:hint="eastAsia" w:cs="宋体" w:asciiTheme="minorEastAsia" w:hAnsiTheme="minorEastAsia" w:eastAsiaTheme="minorEastAsia"/>
          <w:color w:val="000000"/>
          <w:sz w:val="28"/>
          <w:szCs w:val="28"/>
          <w:highlight w:val="none"/>
        </w:rPr>
        <w:t>前三个月内</w:t>
      </w:r>
      <w:r>
        <w:rPr>
          <w:rFonts w:hint="eastAsia" w:cs="宋体" w:asciiTheme="minorEastAsia" w:hAnsiTheme="minorEastAsia" w:eastAsiaTheme="minorEastAsia"/>
          <w:color w:val="000000"/>
          <w:sz w:val="28"/>
          <w:szCs w:val="28"/>
          <w:highlight w:val="none"/>
          <w:lang w:eastAsia="zh-CN"/>
        </w:rPr>
        <w:t>，若</w:t>
      </w:r>
      <w:r>
        <w:rPr>
          <w:rFonts w:hint="eastAsia" w:cs="宋体" w:asciiTheme="minorEastAsia" w:hAnsiTheme="minorEastAsia" w:eastAsiaTheme="minorEastAsia"/>
          <w:color w:val="000000"/>
          <w:sz w:val="28"/>
          <w:szCs w:val="28"/>
        </w:rPr>
        <w:t>发生产品损坏和性能不合格（非使用不当原因造成），除采购人同意修理者外，亦应退换新品。</w:t>
      </w:r>
      <w:bookmarkStart w:id="181" w:name="_GoBack"/>
      <w:bookmarkEnd w:id="181"/>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bookmarkStart w:id="167" w:name="_Toc523931348"/>
    </w:p>
    <w:p>
      <w:pPr>
        <w:adjustRightInd/>
        <w:snapToGrid/>
        <w:spacing w:after="0"/>
      </w:pPr>
      <w:r>
        <w:br w:type="page"/>
      </w: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7"/>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984" w:type="dxa"/>
            <w:vAlign w:val="center"/>
          </w:tcPr>
          <w:p>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1</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价格</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（30分）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ascii="Arial" w:hAnsi="Arial" w:cs="Arial"/>
                <w:bCs/>
                <w:sz w:val="23"/>
                <w:szCs w:val="23"/>
              </w:rPr>
            </w:pPr>
            <w:r>
              <w:rPr>
                <w:rFonts w:ascii="Arial" w:hAnsi="Arial" w:cs="Arial"/>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7"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2</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技术能力</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32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根据各投标产品的先进性、匹配性、可靠性、稳定性以及质量、性能酌情打分，较好4-5分，一般</w:t>
            </w:r>
            <w:r>
              <w:rPr>
                <w:rFonts w:cs="宋体" w:asciiTheme="minorEastAsia" w:hAnsiTheme="minorEastAsia" w:eastAsiaTheme="minorEastAsia"/>
                <w:bCs/>
                <w:sz w:val="23"/>
                <w:szCs w:val="23"/>
              </w:rPr>
              <w:t>2-3</w:t>
            </w:r>
            <w:r>
              <w:rPr>
                <w:rFonts w:hint="eastAsia" w:cs="宋体" w:asciiTheme="minorEastAsia" w:hAnsiTheme="minorEastAsia" w:eastAsiaTheme="minorEastAsia"/>
                <w:bCs/>
                <w:sz w:val="23"/>
                <w:szCs w:val="23"/>
              </w:rPr>
              <w:t>分，其他0-1分。</w:t>
            </w:r>
          </w:p>
        </w:tc>
        <w:tc>
          <w:tcPr>
            <w:tcW w:w="798" w:type="dxa"/>
            <w:vAlign w:val="center"/>
          </w:tcPr>
          <w:p>
            <w:pPr>
              <w:spacing w:line="360" w:lineRule="auto"/>
              <w:ind w:firstLine="115" w:firstLineChars="50"/>
              <w:rPr>
                <w:rFonts w:ascii="Arial" w:hAnsi="Arial" w:cs="Arial"/>
                <w:bCs/>
                <w:sz w:val="23"/>
                <w:szCs w:val="23"/>
              </w:rPr>
            </w:pPr>
            <w:r>
              <w:rPr>
                <w:rFonts w:hint="eastAsia" w:ascii="Arial" w:hAnsi="Arial"/>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cs="Arial" w:asciiTheme="minorEastAsia" w:hAnsiTheme="minorEastAsia" w:eastAsiaTheme="minorEastAsia"/>
                <w:bCs/>
                <w:sz w:val="23"/>
                <w:szCs w:val="23"/>
              </w:rPr>
            </w:pPr>
          </w:p>
        </w:tc>
        <w:tc>
          <w:tcPr>
            <w:tcW w:w="5614" w:type="dxa"/>
            <w:vAlign w:val="center"/>
          </w:tcPr>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投标产品对招标文件具体需求的响应程度：满足招标文件技术指标、参数要求的得24分（" ★"项的为主要指标，不满足的每项减</w:t>
            </w:r>
            <w:r>
              <w:rPr>
                <w:rFonts w:hint="eastAsia" w:cs="宋体" w:asciiTheme="minorEastAsia" w:hAnsiTheme="minorEastAsia" w:eastAsiaTheme="minorEastAsia"/>
                <w:bCs/>
                <w:sz w:val="23"/>
                <w:szCs w:val="23"/>
                <w:lang w:val="en-US" w:eastAsia="zh-CN"/>
              </w:rPr>
              <w:t>6</w:t>
            </w:r>
            <w:r>
              <w:rPr>
                <w:rFonts w:hint="eastAsia" w:cs="宋体" w:asciiTheme="minorEastAsia" w:hAnsiTheme="minorEastAsia" w:eastAsiaTheme="minorEastAsia"/>
                <w:bCs/>
                <w:sz w:val="23"/>
                <w:szCs w:val="23"/>
              </w:rPr>
              <w:t xml:space="preserve">分；其他每有一项偏离减3分；负偏离超过5项的不得分，每有一项优于招标文件，经评委会认可的加1分，最多加3分。） </w:t>
            </w:r>
          </w:p>
        </w:tc>
        <w:tc>
          <w:tcPr>
            <w:tcW w:w="798" w:type="dxa"/>
            <w:vAlign w:val="center"/>
          </w:tcPr>
          <w:p>
            <w:pPr>
              <w:spacing w:line="360" w:lineRule="auto"/>
              <w:ind w:firstLine="115" w:firstLineChars="50"/>
              <w:rPr>
                <w:rFonts w:cs="Arial" w:asciiTheme="minorEastAsia" w:hAnsiTheme="minorEastAsia" w:eastAsiaTheme="minorEastAsia"/>
                <w:bCs/>
                <w:sz w:val="23"/>
                <w:szCs w:val="23"/>
              </w:rPr>
            </w:pPr>
            <w:r>
              <w:rPr>
                <w:rFonts w:hint="eastAsia" w:asciiTheme="minorEastAsia" w:hAnsiTheme="minorEastAsia" w:eastAsiaTheme="minorEastAsia"/>
                <w:bCs/>
                <w:sz w:val="23"/>
                <w:szCs w:val="23"/>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0" w:hRule="atLeast"/>
        </w:trPr>
        <w:tc>
          <w:tcPr>
            <w:tcW w:w="534" w:type="dxa"/>
            <w:vAlign w:val="center"/>
          </w:tcPr>
          <w:p>
            <w:pPr>
              <w:jc w:val="center"/>
              <w:rPr>
                <w:rFonts w:ascii="Arial" w:hAnsi="Arial" w:cs="Arial"/>
                <w:bCs/>
                <w:sz w:val="23"/>
                <w:szCs w:val="23"/>
              </w:rPr>
            </w:pPr>
            <w:r>
              <w:rPr>
                <w:rFonts w:hint="eastAsia" w:ascii="宋体" w:hAnsi="宋体" w:eastAsia="宋体" w:cs="宋体"/>
                <w:bCs/>
                <w:sz w:val="21"/>
                <w:szCs w:val="21"/>
              </w:rPr>
              <w:t>3.1</w:t>
            </w:r>
          </w:p>
        </w:tc>
        <w:tc>
          <w:tcPr>
            <w:tcW w:w="1984" w:type="dxa"/>
            <w:vMerge w:val="restart"/>
            <w:vAlign w:val="center"/>
          </w:tcPr>
          <w:p>
            <w:pPr>
              <w:spacing w:line="440" w:lineRule="exact"/>
              <w:jc w:val="center"/>
              <w:rPr>
                <w:rFonts w:ascii="宋体" w:hAnsi="宋体" w:eastAsia="宋体" w:cs="宋体"/>
                <w:bCs/>
                <w:sz w:val="21"/>
                <w:szCs w:val="21"/>
              </w:rPr>
            </w:pPr>
            <w:r>
              <w:rPr>
                <w:rFonts w:hint="eastAsia" w:ascii="宋体" w:hAnsi="宋体" w:eastAsia="宋体" w:cs="宋体"/>
                <w:bCs/>
                <w:sz w:val="21"/>
                <w:szCs w:val="21"/>
              </w:rPr>
              <w:t>服务</w:t>
            </w:r>
          </w:p>
          <w:p>
            <w:pPr>
              <w:spacing w:line="440" w:lineRule="exact"/>
              <w:jc w:val="center"/>
              <w:rPr>
                <w:rFonts w:ascii="Arial" w:hAnsi="Arial" w:cs="Arial"/>
                <w:bCs/>
                <w:sz w:val="23"/>
                <w:szCs w:val="23"/>
              </w:rPr>
            </w:pPr>
            <w:r>
              <w:rPr>
                <w:rFonts w:hint="eastAsia" w:ascii="宋体" w:hAnsi="宋体" w:eastAsia="宋体" w:cs="宋体"/>
                <w:bCs/>
                <w:sz w:val="21"/>
                <w:szCs w:val="21"/>
              </w:rPr>
              <w:t>（18分）</w:t>
            </w:r>
          </w:p>
        </w:tc>
        <w:tc>
          <w:tcPr>
            <w:tcW w:w="5614" w:type="dxa"/>
            <w:vAlign w:val="center"/>
          </w:tcPr>
          <w:p>
            <w:pPr>
              <w:spacing w:line="440" w:lineRule="exact"/>
              <w:rPr>
                <w:rFonts w:cs="Arial" w:asciiTheme="minorEastAsia" w:hAnsiTheme="minorEastAsia" w:eastAsiaTheme="minorEastAsia"/>
                <w:bCs/>
                <w:sz w:val="23"/>
                <w:szCs w:val="23"/>
              </w:rPr>
            </w:pPr>
            <w:r>
              <w:rPr>
                <w:rFonts w:hint="eastAsia" w:ascii="宋体" w:hAnsi="宋体" w:eastAsia="宋体" w:cs="宋体"/>
                <w:bCs/>
                <w:sz w:val="21"/>
                <w:szCs w:val="21"/>
              </w:rPr>
              <w:t>本地化服务：具有售后服务机构及人员（公司注册地在南京，或南京有分、子公司、办事处或常驻服务机构）（提供相关证明材料）。</w:t>
            </w:r>
          </w:p>
        </w:tc>
        <w:tc>
          <w:tcPr>
            <w:tcW w:w="798" w:type="dxa"/>
            <w:vAlign w:val="center"/>
          </w:tcPr>
          <w:p>
            <w:pPr>
              <w:jc w:val="center"/>
              <w:rPr>
                <w:rFonts w:cs="Arial" w:asciiTheme="minorEastAsia" w:hAnsiTheme="minorEastAsia" w:eastAsiaTheme="minorEastAsia"/>
                <w:bCs/>
                <w:sz w:val="23"/>
                <w:szCs w:val="23"/>
              </w:rPr>
            </w:pPr>
            <w:r>
              <w:rPr>
                <w:rFonts w:hint="eastAsia" w:ascii="宋体" w:hAnsi="宋体" w:eastAsia="宋体" w:cs="宋体"/>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restart"/>
            <w:vAlign w:val="center"/>
          </w:tcPr>
          <w:p>
            <w:pPr>
              <w:jc w:val="center"/>
              <w:rPr>
                <w:rFonts w:ascii="Arial" w:hAnsi="Arial" w:cs="Arial"/>
                <w:bCs/>
                <w:sz w:val="23"/>
                <w:szCs w:val="23"/>
              </w:rPr>
            </w:pPr>
            <w:r>
              <w:rPr>
                <w:rFonts w:hint="eastAsia" w:ascii="宋体" w:hAnsi="宋体" w:eastAsia="宋体" w:cs="宋体"/>
                <w:bCs/>
                <w:sz w:val="21"/>
                <w:szCs w:val="21"/>
              </w:rPr>
              <w:t>3.2</w:t>
            </w:r>
          </w:p>
        </w:tc>
        <w:tc>
          <w:tcPr>
            <w:tcW w:w="1984" w:type="dxa"/>
            <w:vMerge w:val="continue"/>
            <w:vAlign w:val="center"/>
          </w:tcPr>
          <w:p>
            <w:pPr>
              <w:adjustRightInd/>
              <w:snapToGrid/>
              <w:spacing w:after="0"/>
              <w:rPr>
                <w:rFonts w:ascii="Arial" w:hAnsi="Arial" w:cs="Arial"/>
                <w:bCs/>
                <w:sz w:val="23"/>
                <w:szCs w:val="23"/>
              </w:rPr>
            </w:pPr>
          </w:p>
        </w:tc>
        <w:tc>
          <w:tcPr>
            <w:tcW w:w="5614" w:type="dxa"/>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售后服务方案：售后服务体系、售后服务承诺、售后服务应答及处理时间，质保期内的售后服务范围、质保期满后的售后服务范围和收费情况、备品备件的承诺。</w:t>
            </w:r>
          </w:p>
          <w:p>
            <w:pPr>
              <w:spacing w:line="440" w:lineRule="exact"/>
              <w:rPr>
                <w:rFonts w:ascii="宋体" w:hAnsi="宋体" w:eastAsia="宋体" w:cs="宋体"/>
                <w:bCs/>
                <w:sz w:val="21"/>
                <w:szCs w:val="21"/>
              </w:rPr>
            </w:pPr>
            <w:r>
              <w:rPr>
                <w:rFonts w:hint="eastAsia" w:ascii="宋体" w:hAnsi="宋体" w:eastAsia="宋体" w:cs="宋体"/>
                <w:bCs/>
                <w:sz w:val="21"/>
                <w:szCs w:val="21"/>
              </w:rPr>
              <w:t>方案完整、合理可行的得9-11分；</w:t>
            </w:r>
          </w:p>
          <w:p>
            <w:pPr>
              <w:spacing w:line="440" w:lineRule="exact"/>
              <w:rPr>
                <w:rFonts w:ascii="宋体" w:hAnsi="宋体" w:eastAsia="宋体" w:cs="宋体"/>
                <w:bCs/>
                <w:sz w:val="21"/>
                <w:szCs w:val="21"/>
              </w:rPr>
            </w:pPr>
            <w:r>
              <w:rPr>
                <w:rFonts w:hint="eastAsia" w:ascii="宋体" w:hAnsi="宋体" w:eastAsia="宋体" w:cs="宋体"/>
                <w:bCs/>
                <w:sz w:val="21"/>
                <w:szCs w:val="21"/>
              </w:rPr>
              <w:t>方案较完整、较合理可行的得5-8分；</w:t>
            </w:r>
          </w:p>
          <w:p>
            <w:pPr>
              <w:spacing w:line="440" w:lineRule="exact"/>
              <w:rPr>
                <w:rFonts w:cs="Arial" w:asciiTheme="minorEastAsia" w:hAnsiTheme="minorEastAsia" w:eastAsiaTheme="minorEastAsia"/>
                <w:bCs/>
                <w:sz w:val="23"/>
                <w:szCs w:val="23"/>
              </w:rPr>
            </w:pPr>
            <w:r>
              <w:rPr>
                <w:rFonts w:hint="eastAsia" w:ascii="宋体" w:hAnsi="宋体" w:eastAsia="宋体" w:cs="宋体"/>
                <w:bCs/>
                <w:sz w:val="21"/>
                <w:szCs w:val="21"/>
              </w:rPr>
              <w:t>方案不完整、不合理不可行的得0-4分</w:t>
            </w:r>
          </w:p>
        </w:tc>
        <w:tc>
          <w:tcPr>
            <w:tcW w:w="798" w:type="dxa"/>
            <w:vAlign w:val="center"/>
          </w:tcPr>
          <w:p>
            <w:pPr>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jc w:val="center"/>
              <w:rPr>
                <w:rFonts w:ascii="宋体" w:hAnsi="宋体" w:eastAsia="宋体" w:cs="宋体"/>
                <w:bCs/>
                <w:sz w:val="21"/>
                <w:szCs w:val="21"/>
              </w:rPr>
            </w:pPr>
          </w:p>
        </w:tc>
        <w:tc>
          <w:tcPr>
            <w:tcW w:w="1984" w:type="dxa"/>
            <w:vMerge w:val="continue"/>
            <w:vAlign w:val="center"/>
          </w:tcPr>
          <w:p>
            <w:pPr>
              <w:adjustRightInd/>
              <w:snapToGrid/>
              <w:spacing w:after="0"/>
              <w:rPr>
                <w:rFonts w:ascii="Arial" w:hAnsi="Arial" w:cs="Arial"/>
                <w:bCs/>
                <w:sz w:val="23"/>
                <w:szCs w:val="23"/>
              </w:rPr>
            </w:pPr>
          </w:p>
        </w:tc>
        <w:tc>
          <w:tcPr>
            <w:tcW w:w="5614" w:type="dxa"/>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培训：对买方操作、维护人员的培训方案及计划。</w:t>
            </w:r>
          </w:p>
        </w:tc>
        <w:tc>
          <w:tcPr>
            <w:tcW w:w="798" w:type="dxa"/>
            <w:vAlign w:val="center"/>
          </w:tcPr>
          <w:p>
            <w:pPr>
              <w:jc w:val="center"/>
              <w:rPr>
                <w:rFonts w:ascii="宋体" w:hAnsi="宋体" w:eastAsia="宋体" w:cs="宋体"/>
                <w:bCs/>
                <w:sz w:val="21"/>
                <w:szCs w:val="21"/>
              </w:rPr>
            </w:pPr>
            <w:r>
              <w:rPr>
                <w:rFonts w:hint="eastAsia" w:ascii="宋体" w:hAnsi="宋体" w:eastAsia="宋体" w:cs="宋体"/>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jc w:val="center"/>
              <w:rPr>
                <w:rFonts w:ascii="宋体" w:hAnsi="宋体" w:eastAsia="宋体" w:cs="宋体"/>
                <w:bCs/>
                <w:sz w:val="21"/>
                <w:szCs w:val="21"/>
              </w:rPr>
            </w:pPr>
          </w:p>
        </w:tc>
        <w:tc>
          <w:tcPr>
            <w:tcW w:w="1984" w:type="dxa"/>
            <w:vMerge w:val="continue"/>
            <w:vAlign w:val="center"/>
          </w:tcPr>
          <w:p>
            <w:pPr>
              <w:adjustRightInd/>
              <w:snapToGrid/>
              <w:spacing w:after="0"/>
              <w:rPr>
                <w:rFonts w:ascii="Arial" w:hAnsi="Arial" w:cs="Arial"/>
                <w:bCs/>
                <w:sz w:val="23"/>
                <w:szCs w:val="23"/>
              </w:rPr>
            </w:pPr>
          </w:p>
        </w:tc>
        <w:tc>
          <w:tcPr>
            <w:tcW w:w="5614" w:type="dxa"/>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免费质保期1年不得分，每多一年得1分，最高不超过3分。</w:t>
            </w:r>
          </w:p>
        </w:tc>
        <w:tc>
          <w:tcPr>
            <w:tcW w:w="798" w:type="dxa"/>
            <w:vAlign w:val="center"/>
          </w:tcPr>
          <w:p>
            <w:pPr>
              <w:jc w:val="center"/>
              <w:rPr>
                <w:rFonts w:ascii="宋体" w:hAnsi="宋体" w:eastAsia="宋体" w:cs="宋体"/>
                <w:bCs/>
                <w:sz w:val="21"/>
                <w:szCs w:val="21"/>
              </w:rPr>
            </w:pPr>
            <w:r>
              <w:rPr>
                <w:rFonts w:hint="eastAsia" w:ascii="宋体" w:hAnsi="宋体" w:eastAsia="宋体" w:cs="宋体"/>
                <w:bCs/>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4</w:t>
            </w:r>
          </w:p>
        </w:tc>
        <w:tc>
          <w:tcPr>
            <w:tcW w:w="1984" w:type="dxa"/>
            <w:vAlign w:val="center"/>
          </w:tcPr>
          <w:p>
            <w:pPr>
              <w:spacing w:line="360" w:lineRule="auto"/>
              <w:ind w:right="-275" w:rightChars="-125"/>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业绩（</w:t>
            </w:r>
            <w:r>
              <w:rPr>
                <w:rFonts w:hint="eastAsia" w:cs="Arial" w:asciiTheme="minorEastAsia" w:hAnsiTheme="minorEastAsia" w:eastAsiaTheme="minorEastAsia"/>
                <w:bCs/>
                <w:sz w:val="23"/>
                <w:szCs w:val="23"/>
              </w:rPr>
              <w:t>15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sz w:val="23"/>
                <w:szCs w:val="23"/>
              </w:rPr>
              <w:t>投标人2015年01月01日以来的类似项目业绩，每提供一个得3分，最高得15分。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5</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投标人财务与信誉状况（</w:t>
            </w:r>
            <w:r>
              <w:rPr>
                <w:rFonts w:hint="eastAsia" w:cs="Arial" w:asciiTheme="minorEastAsia" w:hAnsiTheme="minorEastAsia" w:eastAsiaTheme="minorEastAsia"/>
                <w:bCs/>
                <w:sz w:val="23"/>
                <w:szCs w:val="23"/>
              </w:rPr>
              <w:t>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6</w:t>
            </w:r>
          </w:p>
        </w:tc>
        <w:tc>
          <w:tcPr>
            <w:tcW w:w="198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对招标文件响应程度（</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bl>
    <w:p>
      <w:pPr>
        <w:spacing w:line="360" w:lineRule="auto"/>
        <w:ind w:firstLine="560" w:firstLineChars="200"/>
        <w:rPr>
          <w:rFonts w:asciiTheme="minorEastAsia" w:hAnsiTheme="minorEastAsia" w:eastAsiaTheme="minorEastAsia"/>
          <w:bCs/>
          <w:sz w:val="28"/>
          <w:szCs w:val="28"/>
        </w:rPr>
      </w:pPr>
    </w:p>
    <w:p>
      <w:pPr>
        <w:spacing w:line="360" w:lineRule="auto"/>
        <w:rPr>
          <w:rFonts w:asciiTheme="minorEastAsia" w:hAnsiTheme="minorEastAsia" w:eastAsiaTheme="minorEastAsia"/>
          <w:bCs/>
        </w:rPr>
      </w:pPr>
    </w:p>
    <w:bookmarkEnd w:id="166"/>
    <w:p>
      <w:pPr>
        <w:pStyle w:val="2"/>
        <w:pageBreakBefore/>
        <w:rPr>
          <w:rFonts w:ascii="宋体" w:hAnsi="宋体" w:eastAsia="宋体"/>
          <w:b/>
          <w:bCs/>
          <w:sz w:val="44"/>
        </w:rPr>
      </w:pPr>
      <w:bookmarkStart w:id="168" w:name="_Toc523931349"/>
      <w:r>
        <w:rPr>
          <w:rFonts w:hint="eastAsia" w:ascii="宋体" w:hAnsi="宋体" w:eastAsia="宋体"/>
          <w:b/>
          <w:bCs/>
          <w:sz w:val="44"/>
        </w:rPr>
        <w:t>第五章  投标文件格式</w:t>
      </w:r>
      <w:bookmarkEnd w:id="168"/>
    </w:p>
    <w:p>
      <w:pPr>
        <w:jc w:val="center"/>
        <w:rPr>
          <w:rFonts w:ascii="宋体" w:hAnsi="宋体"/>
          <w:b/>
          <w:sz w:val="72"/>
        </w:rPr>
      </w:pPr>
      <w:bookmarkStart w:id="169" w:name="_Hlt26955039"/>
      <w:bookmarkEnd w:id="169"/>
      <w:bookmarkStart w:id="170" w:name="_Hlt26671244"/>
      <w:bookmarkEnd w:id="170"/>
      <w:bookmarkStart w:id="171" w:name="_Toc120614282"/>
      <w:bookmarkStart w:id="172" w:name="_Toc26554094"/>
      <w:bookmarkStart w:id="173"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4" w:name="_Toc517190894"/>
      <w:r>
        <w:rPr>
          <w:rFonts w:hint="eastAsia"/>
          <w:b/>
          <w:sz w:val="32"/>
        </w:rPr>
        <w:t>投标函格式</w:t>
      </w:r>
      <w:bookmarkEnd w:id="174"/>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7"/>
        <w:ind w:firstLine="0"/>
        <w:jc w:val="center"/>
        <w:rPr>
          <w:b/>
          <w:sz w:val="32"/>
        </w:rPr>
      </w:pPr>
      <w:bookmarkStart w:id="175" w:name="_Toc517190895"/>
      <w:r>
        <w:rPr>
          <w:rFonts w:hint="eastAsia"/>
          <w:b/>
          <w:sz w:val="32"/>
        </w:rPr>
        <w:t>法人授权书</w:t>
      </w:r>
      <w:bookmarkEnd w:id="175"/>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6" w:name="_Hlt26671380"/>
      <w:bookmarkEnd w:id="176"/>
      <w:bookmarkStart w:id="177" w:name="_Hlt26955070"/>
      <w:bookmarkEnd w:id="177"/>
      <w:bookmarkStart w:id="178" w:name="_格式3__银行出具的资信证明"/>
      <w:bookmarkEnd w:id="178"/>
    </w:p>
    <w:p>
      <w:pPr>
        <w:pStyle w:val="3"/>
        <w:rPr>
          <w:rFonts w:asciiTheme="minorEastAsia" w:hAnsiTheme="minorEastAsia" w:eastAsiaTheme="minorEastAsia"/>
          <w:sz w:val="36"/>
        </w:rPr>
      </w:pPr>
    </w:p>
    <w:p>
      <w:pPr>
        <w:pStyle w:val="27"/>
        <w:pageBreakBefore/>
        <w:ind w:firstLine="0"/>
        <w:jc w:val="center"/>
        <w:rPr>
          <w:b/>
          <w:sz w:val="32"/>
          <w:szCs w:val="20"/>
        </w:rPr>
      </w:pPr>
      <w:bookmarkStart w:id="179" w:name="_Toc517190896"/>
      <w:r>
        <w:rPr>
          <w:rFonts w:hint="eastAsia"/>
          <w:b/>
          <w:sz w:val="32"/>
        </w:rPr>
        <w:t>开标一览表</w:t>
      </w:r>
      <w:bookmarkEnd w:id="179"/>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1"/>
    <w:bookmarkEnd w:id="172"/>
    <w:bookmarkEnd w:id="173"/>
    <w:p>
      <w:pPr>
        <w:jc w:val="center"/>
        <w:rPr>
          <w:rFonts w:ascii="Arial" w:hAnsi="Arial" w:eastAsia="宋体" w:cs="Times New Roman"/>
          <w:b/>
          <w:sz w:val="32"/>
          <w:szCs w:val="24"/>
        </w:rPr>
      </w:pPr>
      <w:bookmarkStart w:id="180"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80"/>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8"/>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r>
        <w:rPr>
          <w:rFonts w:hint="eastAsia" w:asciiTheme="minorEastAsia" w:hAnsiTheme="minorEastAsia" w:eastAsiaTheme="minorEastAsia"/>
          <w:b/>
          <w:sz w:val="24"/>
          <w:szCs w:val="28"/>
        </w:rPr>
        <w:t>【</w:t>
      </w:r>
      <w:r>
        <w:rPr>
          <w:rFonts w:hint="eastAsia" w:asciiTheme="minorEastAsia" w:hAnsiTheme="minorEastAsia" w:eastAsiaTheme="minorEastAsia"/>
          <w:sz w:val="24"/>
          <w:szCs w:val="28"/>
        </w:rPr>
        <w:t>中标价20万(含)以下</w:t>
      </w:r>
      <w:r>
        <w:rPr>
          <w:rFonts w:hint="eastAsia" w:asciiTheme="minorEastAsia" w:hAnsiTheme="minorEastAsia" w:eastAsiaTheme="minorEastAsia"/>
          <w:b/>
          <w:sz w:val="24"/>
          <w:szCs w:val="28"/>
        </w:rPr>
        <w:t>】</w:t>
      </w:r>
      <w:r>
        <w:rPr>
          <w:rFonts w:asciiTheme="minorEastAsia" w:hAnsiTheme="minorEastAsia" w:eastAsiaTheme="minorEastAsia"/>
          <w:sz w:val="24"/>
          <w:szCs w:val="28"/>
        </w:rPr>
        <w:t>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4"/>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22</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A4D13"/>
    <w:multiLevelType w:val="multilevel"/>
    <w:tmpl w:val="18BA4D13"/>
    <w:lvl w:ilvl="0" w:tentative="0">
      <w:start w:val="1"/>
      <w:numFmt w:val="japaneseCounting"/>
      <w:lvlText w:val="%1、"/>
      <w:lvlJc w:val="left"/>
      <w:pPr>
        <w:ind w:left="1282" w:hanging="72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22A4"/>
    <w:rsid w:val="00014B69"/>
    <w:rsid w:val="000154FB"/>
    <w:rsid w:val="000171C3"/>
    <w:rsid w:val="00026CA5"/>
    <w:rsid w:val="00034A2B"/>
    <w:rsid w:val="00045531"/>
    <w:rsid w:val="000458DB"/>
    <w:rsid w:val="00046D67"/>
    <w:rsid w:val="000508AB"/>
    <w:rsid w:val="00050D10"/>
    <w:rsid w:val="00053D2D"/>
    <w:rsid w:val="00053D8C"/>
    <w:rsid w:val="0005451A"/>
    <w:rsid w:val="00062EBC"/>
    <w:rsid w:val="00063E5E"/>
    <w:rsid w:val="00070968"/>
    <w:rsid w:val="00075408"/>
    <w:rsid w:val="000837AA"/>
    <w:rsid w:val="0008466D"/>
    <w:rsid w:val="00086A59"/>
    <w:rsid w:val="00087B03"/>
    <w:rsid w:val="00090C36"/>
    <w:rsid w:val="00090C62"/>
    <w:rsid w:val="00092136"/>
    <w:rsid w:val="0009546A"/>
    <w:rsid w:val="00096EB7"/>
    <w:rsid w:val="000A4EF6"/>
    <w:rsid w:val="000B08EC"/>
    <w:rsid w:val="000B0E83"/>
    <w:rsid w:val="000B538B"/>
    <w:rsid w:val="000B55A7"/>
    <w:rsid w:val="000C3635"/>
    <w:rsid w:val="000C6FE5"/>
    <w:rsid w:val="000C7C51"/>
    <w:rsid w:val="000D0163"/>
    <w:rsid w:val="000E2418"/>
    <w:rsid w:val="000E41E7"/>
    <w:rsid w:val="000E460C"/>
    <w:rsid w:val="000E7086"/>
    <w:rsid w:val="000F0089"/>
    <w:rsid w:val="000F4CEA"/>
    <w:rsid w:val="00100D01"/>
    <w:rsid w:val="00101A8A"/>
    <w:rsid w:val="00111524"/>
    <w:rsid w:val="0012092A"/>
    <w:rsid w:val="001225B3"/>
    <w:rsid w:val="00124A3C"/>
    <w:rsid w:val="00125C10"/>
    <w:rsid w:val="00130370"/>
    <w:rsid w:val="00137666"/>
    <w:rsid w:val="00141840"/>
    <w:rsid w:val="001424D3"/>
    <w:rsid w:val="0016026B"/>
    <w:rsid w:val="00160A9B"/>
    <w:rsid w:val="001647DF"/>
    <w:rsid w:val="00165843"/>
    <w:rsid w:val="00165E37"/>
    <w:rsid w:val="00166953"/>
    <w:rsid w:val="001674B0"/>
    <w:rsid w:val="00167738"/>
    <w:rsid w:val="00170D4A"/>
    <w:rsid w:val="0018443B"/>
    <w:rsid w:val="00193521"/>
    <w:rsid w:val="00194D77"/>
    <w:rsid w:val="001A049C"/>
    <w:rsid w:val="001A76E7"/>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4F63"/>
    <w:rsid w:val="001F6C92"/>
    <w:rsid w:val="0020432E"/>
    <w:rsid w:val="00206503"/>
    <w:rsid w:val="002070F5"/>
    <w:rsid w:val="00232127"/>
    <w:rsid w:val="002327D4"/>
    <w:rsid w:val="002415CF"/>
    <w:rsid w:val="00244DA0"/>
    <w:rsid w:val="002453B7"/>
    <w:rsid w:val="0025535E"/>
    <w:rsid w:val="00257C1E"/>
    <w:rsid w:val="00266C11"/>
    <w:rsid w:val="00272CB4"/>
    <w:rsid w:val="00295368"/>
    <w:rsid w:val="0029740A"/>
    <w:rsid w:val="002A1F4F"/>
    <w:rsid w:val="002A4DD3"/>
    <w:rsid w:val="002B485D"/>
    <w:rsid w:val="002D2055"/>
    <w:rsid w:val="002E0C91"/>
    <w:rsid w:val="002E0FA7"/>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6542"/>
    <w:rsid w:val="00340774"/>
    <w:rsid w:val="00341D73"/>
    <w:rsid w:val="00343344"/>
    <w:rsid w:val="00344696"/>
    <w:rsid w:val="003525A5"/>
    <w:rsid w:val="003538BE"/>
    <w:rsid w:val="0036367D"/>
    <w:rsid w:val="00363CE9"/>
    <w:rsid w:val="0036460C"/>
    <w:rsid w:val="00365285"/>
    <w:rsid w:val="0037490B"/>
    <w:rsid w:val="0038270D"/>
    <w:rsid w:val="00391340"/>
    <w:rsid w:val="00397BA9"/>
    <w:rsid w:val="003B1427"/>
    <w:rsid w:val="003B2DF7"/>
    <w:rsid w:val="003B3CF8"/>
    <w:rsid w:val="003C2D27"/>
    <w:rsid w:val="003C4103"/>
    <w:rsid w:val="003C7177"/>
    <w:rsid w:val="003D2715"/>
    <w:rsid w:val="003D37D8"/>
    <w:rsid w:val="003E2F0D"/>
    <w:rsid w:val="003F3546"/>
    <w:rsid w:val="003F6A3E"/>
    <w:rsid w:val="003F6DAB"/>
    <w:rsid w:val="003F7BE0"/>
    <w:rsid w:val="003F7CC8"/>
    <w:rsid w:val="00404C89"/>
    <w:rsid w:val="00411C53"/>
    <w:rsid w:val="00412566"/>
    <w:rsid w:val="00413A13"/>
    <w:rsid w:val="00414074"/>
    <w:rsid w:val="00421D40"/>
    <w:rsid w:val="00426133"/>
    <w:rsid w:val="00431F8A"/>
    <w:rsid w:val="00433AC1"/>
    <w:rsid w:val="004358AB"/>
    <w:rsid w:val="0043654C"/>
    <w:rsid w:val="004416FF"/>
    <w:rsid w:val="00442EE3"/>
    <w:rsid w:val="00443D5F"/>
    <w:rsid w:val="00443E49"/>
    <w:rsid w:val="004459E6"/>
    <w:rsid w:val="00446B9B"/>
    <w:rsid w:val="0044705E"/>
    <w:rsid w:val="00451E2F"/>
    <w:rsid w:val="00457AD9"/>
    <w:rsid w:val="00477C2E"/>
    <w:rsid w:val="004808C6"/>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29DB"/>
    <w:rsid w:val="00521434"/>
    <w:rsid w:val="00523B5F"/>
    <w:rsid w:val="00524EFE"/>
    <w:rsid w:val="005253AD"/>
    <w:rsid w:val="00532F1E"/>
    <w:rsid w:val="00541E69"/>
    <w:rsid w:val="00544D7E"/>
    <w:rsid w:val="0054541E"/>
    <w:rsid w:val="00557F99"/>
    <w:rsid w:val="005657AD"/>
    <w:rsid w:val="0057236C"/>
    <w:rsid w:val="0057580C"/>
    <w:rsid w:val="00575FC2"/>
    <w:rsid w:val="0058115B"/>
    <w:rsid w:val="00582807"/>
    <w:rsid w:val="00582977"/>
    <w:rsid w:val="00584418"/>
    <w:rsid w:val="005866DD"/>
    <w:rsid w:val="00590D7C"/>
    <w:rsid w:val="0059317B"/>
    <w:rsid w:val="00596F67"/>
    <w:rsid w:val="005B00B9"/>
    <w:rsid w:val="005B3D87"/>
    <w:rsid w:val="005B44B4"/>
    <w:rsid w:val="005C005E"/>
    <w:rsid w:val="005C66D3"/>
    <w:rsid w:val="005D2E1F"/>
    <w:rsid w:val="005D2F1F"/>
    <w:rsid w:val="005E1607"/>
    <w:rsid w:val="005E6864"/>
    <w:rsid w:val="005F103C"/>
    <w:rsid w:val="00601FB9"/>
    <w:rsid w:val="006020C3"/>
    <w:rsid w:val="0060453F"/>
    <w:rsid w:val="006045FD"/>
    <w:rsid w:val="006073C6"/>
    <w:rsid w:val="006160DD"/>
    <w:rsid w:val="006218B4"/>
    <w:rsid w:val="0062392B"/>
    <w:rsid w:val="006411FE"/>
    <w:rsid w:val="006600C0"/>
    <w:rsid w:val="00663D89"/>
    <w:rsid w:val="00667558"/>
    <w:rsid w:val="00681F07"/>
    <w:rsid w:val="00691BD5"/>
    <w:rsid w:val="00695BF8"/>
    <w:rsid w:val="006977C3"/>
    <w:rsid w:val="006A096A"/>
    <w:rsid w:val="006B0EB6"/>
    <w:rsid w:val="006B4013"/>
    <w:rsid w:val="006B6C40"/>
    <w:rsid w:val="006C6B1D"/>
    <w:rsid w:val="006D1B0D"/>
    <w:rsid w:val="006D2726"/>
    <w:rsid w:val="006E1848"/>
    <w:rsid w:val="006E482E"/>
    <w:rsid w:val="006E7A99"/>
    <w:rsid w:val="006F283A"/>
    <w:rsid w:val="00705F93"/>
    <w:rsid w:val="00710E53"/>
    <w:rsid w:val="0071106B"/>
    <w:rsid w:val="00711F9D"/>
    <w:rsid w:val="007178CD"/>
    <w:rsid w:val="00722B49"/>
    <w:rsid w:val="00723E54"/>
    <w:rsid w:val="00725153"/>
    <w:rsid w:val="007253FF"/>
    <w:rsid w:val="00726D9C"/>
    <w:rsid w:val="00731E48"/>
    <w:rsid w:val="007327F0"/>
    <w:rsid w:val="00732820"/>
    <w:rsid w:val="007426B0"/>
    <w:rsid w:val="0074740B"/>
    <w:rsid w:val="00747556"/>
    <w:rsid w:val="007543D9"/>
    <w:rsid w:val="00754FBF"/>
    <w:rsid w:val="00755373"/>
    <w:rsid w:val="00770628"/>
    <w:rsid w:val="007730F5"/>
    <w:rsid w:val="00783B4C"/>
    <w:rsid w:val="00791FC9"/>
    <w:rsid w:val="00792482"/>
    <w:rsid w:val="0079316D"/>
    <w:rsid w:val="007947E9"/>
    <w:rsid w:val="007A58F8"/>
    <w:rsid w:val="007B3D32"/>
    <w:rsid w:val="007C2D47"/>
    <w:rsid w:val="007E0F09"/>
    <w:rsid w:val="007E2F52"/>
    <w:rsid w:val="007E466E"/>
    <w:rsid w:val="007E5C50"/>
    <w:rsid w:val="007E62FC"/>
    <w:rsid w:val="007E7839"/>
    <w:rsid w:val="007F1718"/>
    <w:rsid w:val="007F18E6"/>
    <w:rsid w:val="007F226B"/>
    <w:rsid w:val="007F41F0"/>
    <w:rsid w:val="00801146"/>
    <w:rsid w:val="00814865"/>
    <w:rsid w:val="008266D1"/>
    <w:rsid w:val="008324FE"/>
    <w:rsid w:val="0083334C"/>
    <w:rsid w:val="00833AE1"/>
    <w:rsid w:val="00834323"/>
    <w:rsid w:val="00841379"/>
    <w:rsid w:val="0085068C"/>
    <w:rsid w:val="00853556"/>
    <w:rsid w:val="0085411F"/>
    <w:rsid w:val="008545FA"/>
    <w:rsid w:val="00862738"/>
    <w:rsid w:val="00863149"/>
    <w:rsid w:val="00871461"/>
    <w:rsid w:val="00881E8B"/>
    <w:rsid w:val="00891674"/>
    <w:rsid w:val="008940B1"/>
    <w:rsid w:val="008944FE"/>
    <w:rsid w:val="008A19CF"/>
    <w:rsid w:val="008A2C91"/>
    <w:rsid w:val="008B0B7A"/>
    <w:rsid w:val="008B154E"/>
    <w:rsid w:val="008B7726"/>
    <w:rsid w:val="008C5578"/>
    <w:rsid w:val="008E0843"/>
    <w:rsid w:val="008E0CA1"/>
    <w:rsid w:val="008E251D"/>
    <w:rsid w:val="008E6860"/>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A6C"/>
    <w:rsid w:val="00944F3E"/>
    <w:rsid w:val="00953E8C"/>
    <w:rsid w:val="00954E6B"/>
    <w:rsid w:val="009569A2"/>
    <w:rsid w:val="0096527A"/>
    <w:rsid w:val="00967657"/>
    <w:rsid w:val="0097055B"/>
    <w:rsid w:val="009766A4"/>
    <w:rsid w:val="00982CE2"/>
    <w:rsid w:val="00985BBC"/>
    <w:rsid w:val="00994DC6"/>
    <w:rsid w:val="0099642C"/>
    <w:rsid w:val="0099720A"/>
    <w:rsid w:val="009A710B"/>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E707D"/>
    <w:rsid w:val="009F148D"/>
    <w:rsid w:val="009F2B90"/>
    <w:rsid w:val="009F453D"/>
    <w:rsid w:val="00A02CA7"/>
    <w:rsid w:val="00A0465D"/>
    <w:rsid w:val="00A118C2"/>
    <w:rsid w:val="00A157F0"/>
    <w:rsid w:val="00A205F4"/>
    <w:rsid w:val="00A25E57"/>
    <w:rsid w:val="00A4464F"/>
    <w:rsid w:val="00A46E8D"/>
    <w:rsid w:val="00A478D2"/>
    <w:rsid w:val="00A536D3"/>
    <w:rsid w:val="00A63CCE"/>
    <w:rsid w:val="00A64A8A"/>
    <w:rsid w:val="00A67624"/>
    <w:rsid w:val="00A719C8"/>
    <w:rsid w:val="00A754E0"/>
    <w:rsid w:val="00A818BE"/>
    <w:rsid w:val="00A84971"/>
    <w:rsid w:val="00A960CD"/>
    <w:rsid w:val="00AA10B3"/>
    <w:rsid w:val="00AA278C"/>
    <w:rsid w:val="00AB3CFF"/>
    <w:rsid w:val="00AC2325"/>
    <w:rsid w:val="00AC3CE4"/>
    <w:rsid w:val="00AD713B"/>
    <w:rsid w:val="00AE2104"/>
    <w:rsid w:val="00AE5082"/>
    <w:rsid w:val="00AE6332"/>
    <w:rsid w:val="00AE7106"/>
    <w:rsid w:val="00AF0E8F"/>
    <w:rsid w:val="00AF1C40"/>
    <w:rsid w:val="00AF3ACC"/>
    <w:rsid w:val="00AF539E"/>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0D81"/>
    <w:rsid w:val="00B93218"/>
    <w:rsid w:val="00B9381E"/>
    <w:rsid w:val="00B93B01"/>
    <w:rsid w:val="00B9568F"/>
    <w:rsid w:val="00B97749"/>
    <w:rsid w:val="00B97E23"/>
    <w:rsid w:val="00BA4580"/>
    <w:rsid w:val="00BA78DC"/>
    <w:rsid w:val="00BB2734"/>
    <w:rsid w:val="00BB3582"/>
    <w:rsid w:val="00BB38D0"/>
    <w:rsid w:val="00BB7A3D"/>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17555"/>
    <w:rsid w:val="00C21880"/>
    <w:rsid w:val="00C30C20"/>
    <w:rsid w:val="00C370CA"/>
    <w:rsid w:val="00C40E65"/>
    <w:rsid w:val="00C43A01"/>
    <w:rsid w:val="00C44CED"/>
    <w:rsid w:val="00C541CB"/>
    <w:rsid w:val="00C55166"/>
    <w:rsid w:val="00C714F0"/>
    <w:rsid w:val="00C76558"/>
    <w:rsid w:val="00C86FD4"/>
    <w:rsid w:val="00C96654"/>
    <w:rsid w:val="00CB2130"/>
    <w:rsid w:val="00CB3C11"/>
    <w:rsid w:val="00CB511C"/>
    <w:rsid w:val="00CD16E9"/>
    <w:rsid w:val="00CD42B4"/>
    <w:rsid w:val="00CD4D83"/>
    <w:rsid w:val="00CE18E8"/>
    <w:rsid w:val="00D00CAA"/>
    <w:rsid w:val="00D00D6F"/>
    <w:rsid w:val="00D126C6"/>
    <w:rsid w:val="00D1587C"/>
    <w:rsid w:val="00D259B3"/>
    <w:rsid w:val="00D25F42"/>
    <w:rsid w:val="00D278D7"/>
    <w:rsid w:val="00D279B0"/>
    <w:rsid w:val="00D31D50"/>
    <w:rsid w:val="00D323F9"/>
    <w:rsid w:val="00D4211D"/>
    <w:rsid w:val="00D44B37"/>
    <w:rsid w:val="00D4693D"/>
    <w:rsid w:val="00D5054E"/>
    <w:rsid w:val="00D53633"/>
    <w:rsid w:val="00D56CB6"/>
    <w:rsid w:val="00D61AE7"/>
    <w:rsid w:val="00D634CC"/>
    <w:rsid w:val="00D77EC9"/>
    <w:rsid w:val="00D81D23"/>
    <w:rsid w:val="00D87330"/>
    <w:rsid w:val="00D9005C"/>
    <w:rsid w:val="00DA1746"/>
    <w:rsid w:val="00DA3EA3"/>
    <w:rsid w:val="00DA4334"/>
    <w:rsid w:val="00DA6AC2"/>
    <w:rsid w:val="00DA76FE"/>
    <w:rsid w:val="00DB1721"/>
    <w:rsid w:val="00DB3826"/>
    <w:rsid w:val="00DB5FD8"/>
    <w:rsid w:val="00DC26C4"/>
    <w:rsid w:val="00DD5681"/>
    <w:rsid w:val="00DD6316"/>
    <w:rsid w:val="00DE05FA"/>
    <w:rsid w:val="00DE421A"/>
    <w:rsid w:val="00DE5B7E"/>
    <w:rsid w:val="00DF12D7"/>
    <w:rsid w:val="00DF16E1"/>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5074"/>
    <w:rsid w:val="00E81B75"/>
    <w:rsid w:val="00E8447A"/>
    <w:rsid w:val="00E85DDD"/>
    <w:rsid w:val="00E924B4"/>
    <w:rsid w:val="00E95E13"/>
    <w:rsid w:val="00EA5C99"/>
    <w:rsid w:val="00EA62FB"/>
    <w:rsid w:val="00EA6CDE"/>
    <w:rsid w:val="00EB0C34"/>
    <w:rsid w:val="00EB187E"/>
    <w:rsid w:val="00EC287F"/>
    <w:rsid w:val="00EC3C23"/>
    <w:rsid w:val="00ED0853"/>
    <w:rsid w:val="00ED0F18"/>
    <w:rsid w:val="00EE2837"/>
    <w:rsid w:val="00EE4B82"/>
    <w:rsid w:val="00EE4DC0"/>
    <w:rsid w:val="00EE7046"/>
    <w:rsid w:val="00EF1FA3"/>
    <w:rsid w:val="00EF69B3"/>
    <w:rsid w:val="00F01A76"/>
    <w:rsid w:val="00F04061"/>
    <w:rsid w:val="00F057B9"/>
    <w:rsid w:val="00F05B04"/>
    <w:rsid w:val="00F14151"/>
    <w:rsid w:val="00F152B0"/>
    <w:rsid w:val="00F212D3"/>
    <w:rsid w:val="00F27EE2"/>
    <w:rsid w:val="00F30A36"/>
    <w:rsid w:val="00F34B4A"/>
    <w:rsid w:val="00F34DF9"/>
    <w:rsid w:val="00F424DA"/>
    <w:rsid w:val="00F4455E"/>
    <w:rsid w:val="00F5231B"/>
    <w:rsid w:val="00F5564E"/>
    <w:rsid w:val="00F60B40"/>
    <w:rsid w:val="00F64CC8"/>
    <w:rsid w:val="00F8761F"/>
    <w:rsid w:val="00F94053"/>
    <w:rsid w:val="00F94356"/>
    <w:rsid w:val="00F952C7"/>
    <w:rsid w:val="00F96BF5"/>
    <w:rsid w:val="00FA1FA5"/>
    <w:rsid w:val="00FA4F5F"/>
    <w:rsid w:val="00FA60F0"/>
    <w:rsid w:val="00FA7B45"/>
    <w:rsid w:val="00FB0011"/>
    <w:rsid w:val="00FB608D"/>
    <w:rsid w:val="00FC0456"/>
    <w:rsid w:val="00FC3104"/>
    <w:rsid w:val="00FF3FAD"/>
    <w:rsid w:val="00FF44F0"/>
    <w:rsid w:val="00FF7A26"/>
    <w:rsid w:val="014C1FAD"/>
    <w:rsid w:val="03004744"/>
    <w:rsid w:val="08284001"/>
    <w:rsid w:val="09E00F8C"/>
    <w:rsid w:val="0ADA47CA"/>
    <w:rsid w:val="0D7C3718"/>
    <w:rsid w:val="0F752313"/>
    <w:rsid w:val="0FBE7322"/>
    <w:rsid w:val="0FD1242C"/>
    <w:rsid w:val="10B26CB4"/>
    <w:rsid w:val="145816CD"/>
    <w:rsid w:val="149306BF"/>
    <w:rsid w:val="14F817DB"/>
    <w:rsid w:val="151B0E99"/>
    <w:rsid w:val="18A80505"/>
    <w:rsid w:val="18DE5A24"/>
    <w:rsid w:val="1B0767C7"/>
    <w:rsid w:val="1BD874CB"/>
    <w:rsid w:val="1C2657EA"/>
    <w:rsid w:val="1C534421"/>
    <w:rsid w:val="1DE36E39"/>
    <w:rsid w:val="2028292B"/>
    <w:rsid w:val="21A863BD"/>
    <w:rsid w:val="224B6541"/>
    <w:rsid w:val="22D94F0A"/>
    <w:rsid w:val="23711F72"/>
    <w:rsid w:val="24911BB8"/>
    <w:rsid w:val="25086568"/>
    <w:rsid w:val="29021183"/>
    <w:rsid w:val="2D82734B"/>
    <w:rsid w:val="2DA207F9"/>
    <w:rsid w:val="303B1173"/>
    <w:rsid w:val="305D394D"/>
    <w:rsid w:val="30CA663E"/>
    <w:rsid w:val="311B0FC8"/>
    <w:rsid w:val="34A91215"/>
    <w:rsid w:val="364C2779"/>
    <w:rsid w:val="368E5A53"/>
    <w:rsid w:val="37291A7B"/>
    <w:rsid w:val="37302267"/>
    <w:rsid w:val="3A6C60EB"/>
    <w:rsid w:val="3BFC2D93"/>
    <w:rsid w:val="3CAE3B50"/>
    <w:rsid w:val="3D0342E9"/>
    <w:rsid w:val="3D077115"/>
    <w:rsid w:val="3E6A131D"/>
    <w:rsid w:val="3F1C226C"/>
    <w:rsid w:val="40571BFD"/>
    <w:rsid w:val="440D1E8B"/>
    <w:rsid w:val="45BB0D03"/>
    <w:rsid w:val="45E71721"/>
    <w:rsid w:val="47322D1B"/>
    <w:rsid w:val="49605258"/>
    <w:rsid w:val="4ABD1A46"/>
    <w:rsid w:val="4DB926A4"/>
    <w:rsid w:val="4E7A146B"/>
    <w:rsid w:val="4FE9596A"/>
    <w:rsid w:val="52D36703"/>
    <w:rsid w:val="56747820"/>
    <w:rsid w:val="56AA4F2E"/>
    <w:rsid w:val="57AE2BB5"/>
    <w:rsid w:val="59521601"/>
    <w:rsid w:val="5E714DDE"/>
    <w:rsid w:val="61DB5282"/>
    <w:rsid w:val="61F8565D"/>
    <w:rsid w:val="62CD3F75"/>
    <w:rsid w:val="64103D49"/>
    <w:rsid w:val="6637729B"/>
    <w:rsid w:val="67B062B6"/>
    <w:rsid w:val="680B4B52"/>
    <w:rsid w:val="6A951211"/>
    <w:rsid w:val="6C2A57B1"/>
    <w:rsid w:val="70961EDC"/>
    <w:rsid w:val="71740794"/>
    <w:rsid w:val="71A01282"/>
    <w:rsid w:val="72C0140A"/>
    <w:rsid w:val="739C62E2"/>
    <w:rsid w:val="75D67914"/>
    <w:rsid w:val="77C80D59"/>
    <w:rsid w:val="79A30663"/>
    <w:rsid w:val="7B281D3D"/>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6"/>
    <w:semiHidden/>
    <w:unhideWhenUsed/>
    <w:qFormat/>
    <w:uiPriority w:val="99"/>
  </w:style>
  <w:style w:type="paragraph" w:styleId="8">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unhideWhenUsed/>
    <w:qFormat/>
    <w:uiPriority w:val="99"/>
    <w:pPr>
      <w:ind w:left="600" w:leftChars="600"/>
    </w:pPr>
    <w:rPr>
      <w:rFonts w:ascii="Verdana" w:hAnsi="Verdana"/>
      <w:szCs w:val="20"/>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7"/>
    <w:next w:val="7"/>
    <w:link w:val="47"/>
    <w:semiHidden/>
    <w:unhideWhenUsed/>
    <w:qFormat/>
    <w:uiPriority w:val="99"/>
    <w:rPr>
      <w:b/>
      <w:bCs/>
    </w:r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Char"/>
    <w:basedOn w:val="19"/>
    <w:link w:val="13"/>
    <w:qFormat/>
    <w:uiPriority w:val="99"/>
    <w:rPr>
      <w:rFonts w:ascii="Tahoma" w:hAnsi="Tahoma"/>
      <w:sz w:val="18"/>
      <w:szCs w:val="18"/>
    </w:rPr>
  </w:style>
  <w:style w:type="character" w:customStyle="1" w:styleId="24">
    <w:name w:val="页脚 Char"/>
    <w:basedOn w:val="19"/>
    <w:link w:val="12"/>
    <w:qFormat/>
    <w:uiPriority w:val="99"/>
    <w:rPr>
      <w:rFonts w:ascii="Tahoma" w:hAnsi="Tahoma"/>
      <w:sz w:val="18"/>
      <w:szCs w:val="18"/>
    </w:rPr>
  </w:style>
  <w:style w:type="character" w:customStyle="1" w:styleId="25">
    <w:name w:val="标题 1 Char"/>
    <w:basedOn w:val="19"/>
    <w:link w:val="2"/>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9"/>
    <w:link w:val="4"/>
    <w:qFormat/>
    <w:uiPriority w:val="0"/>
    <w:rPr>
      <w:rFonts w:ascii="Times New Roman" w:hAnsi="Times New Roman" w:eastAsia="宋体" w:cs="Times New Roman"/>
      <w:b/>
      <w:bCs/>
      <w:kern w:val="2"/>
      <w:sz w:val="32"/>
      <w:szCs w:val="32"/>
    </w:rPr>
  </w:style>
  <w:style w:type="character" w:customStyle="1" w:styleId="29">
    <w:name w:val="标题 4 Char"/>
    <w:basedOn w:val="19"/>
    <w:link w:val="6"/>
    <w:qFormat/>
    <w:uiPriority w:val="9"/>
    <w:rPr>
      <w:rFonts w:ascii="Arial" w:hAnsi="Arial" w:eastAsia="黑体" w:cs="Arial"/>
      <w:b/>
      <w:bCs/>
      <w:kern w:val="2"/>
      <w:sz w:val="28"/>
      <w:szCs w:val="28"/>
    </w:rPr>
  </w:style>
  <w:style w:type="character" w:customStyle="1" w:styleId="30">
    <w:name w:val="标题 Char1"/>
    <w:basedOn w:val="19"/>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5"/>
    <w:qFormat/>
    <w:uiPriority w:val="0"/>
    <w:rPr>
      <w:kern w:val="2"/>
      <w:sz w:val="21"/>
      <w:szCs w:val="21"/>
    </w:rPr>
  </w:style>
  <w:style w:type="character" w:customStyle="1" w:styleId="35">
    <w:name w:val="标题 Char"/>
    <w:basedOn w:val="19"/>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10"/>
    <w:qFormat/>
    <w:uiPriority w:val="0"/>
    <w:rPr>
      <w:rFonts w:ascii="宋体" w:hAnsi="Courier New" w:cs="Courier New"/>
      <w:kern w:val="2"/>
      <w:sz w:val="21"/>
      <w:szCs w:val="21"/>
    </w:rPr>
  </w:style>
  <w:style w:type="character" w:customStyle="1" w:styleId="38">
    <w:name w:val="纯文本 Char1"/>
    <w:basedOn w:val="19"/>
    <w:semiHidden/>
    <w:qFormat/>
    <w:uiPriority w:val="99"/>
    <w:rPr>
      <w:rFonts w:ascii="宋体" w:hAnsi="Courier New" w:eastAsia="宋体" w:cs="Courier New"/>
      <w:sz w:val="21"/>
      <w:szCs w:val="21"/>
    </w:rPr>
  </w:style>
  <w:style w:type="character" w:customStyle="1" w:styleId="39">
    <w:name w:val="标题 2 Char"/>
    <w:basedOn w:val="19"/>
    <w:link w:val="3"/>
    <w:semiHidden/>
    <w:qFormat/>
    <w:uiPriority w:val="9"/>
    <w:rPr>
      <w:rFonts w:asciiTheme="majorHAnsi" w:hAnsiTheme="majorHAnsi" w:eastAsiaTheme="majorEastAsia" w:cstheme="majorBidi"/>
      <w:b/>
      <w:bCs/>
      <w:sz w:val="32"/>
      <w:szCs w:val="32"/>
    </w:rPr>
  </w:style>
  <w:style w:type="character" w:customStyle="1" w:styleId="40">
    <w:name w:val="正文文本 Char"/>
    <w:link w:val="8"/>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semiHidden/>
    <w:qFormat/>
    <w:uiPriority w:val="99"/>
    <w:rPr>
      <w:rFonts w:ascii="Tahoma" w:hAnsi="Tahoma"/>
    </w:rPr>
  </w:style>
  <w:style w:type="character" w:customStyle="1" w:styleId="45">
    <w:name w:val="批注框文本 Char"/>
    <w:basedOn w:val="19"/>
    <w:link w:val="11"/>
    <w:semiHidden/>
    <w:qFormat/>
    <w:uiPriority w:val="99"/>
    <w:rPr>
      <w:rFonts w:ascii="Tahoma" w:hAnsi="Tahoma"/>
      <w:sz w:val="18"/>
      <w:szCs w:val="18"/>
    </w:rPr>
  </w:style>
  <w:style w:type="character" w:customStyle="1" w:styleId="46">
    <w:name w:val="批注文字 Char"/>
    <w:basedOn w:val="19"/>
    <w:link w:val="7"/>
    <w:semiHidden/>
    <w:qFormat/>
    <w:uiPriority w:val="99"/>
    <w:rPr>
      <w:rFonts w:ascii="Tahoma" w:hAnsi="Tahoma"/>
    </w:rPr>
  </w:style>
  <w:style w:type="character" w:customStyle="1" w:styleId="47">
    <w:name w:val="批注主题 Char"/>
    <w:basedOn w:val="46"/>
    <w:link w:val="1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60213D-3F0D-4F34-A65C-011861BEE886}">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36</Pages>
  <Words>2338</Words>
  <Characters>13329</Characters>
  <Lines>111</Lines>
  <Paragraphs>31</Paragraphs>
  <TotalTime>22</TotalTime>
  <ScaleCrop>false</ScaleCrop>
  <LinksUpToDate>false</LinksUpToDate>
  <CharactersWithSpaces>15636</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2019-03-19T05:29:00Z</dcterms:created>
  <dc:creator>chenle</dc:creator>
  <cp:lastModifiedBy>lenovo</cp:lastModifiedBy>
  <dcterms:modified xsi:type="dcterms:W3CDTF">2019-03-21T05:45:12Z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