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项目名称：日志审计系统购置项目</w:t>
      </w:r>
    </w:p>
    <w:p>
      <w:pPr>
        <w:pStyle w:val="27"/>
        <w:ind w:firstLine="1767" w:firstLineChars="550"/>
        <w:rPr>
          <w:b/>
          <w:bCs/>
          <w:color w:val="FF0000"/>
          <w:sz w:val="32"/>
          <w:highlight w:val="yellow"/>
        </w:rPr>
      </w:pPr>
      <w:r>
        <w:rPr>
          <w:rFonts w:hint="eastAsia"/>
          <w:b/>
          <w:bCs/>
          <w:sz w:val="32"/>
        </w:rPr>
        <w:t>项目编号： njmu-20190117-8</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47975720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79757207"/>
      <w:bookmarkStart w:id="9" w:name="_Toc120614211"/>
      <w:bookmarkStart w:id="10" w:name="_Toc120614221"/>
      <w:bookmarkStart w:id="11" w:name="_Toc16938558"/>
      <w:bookmarkStart w:id="12" w:name="_Toc444669970"/>
      <w:bookmarkStart w:id="13" w:name="_Toc20823314"/>
      <w:bookmarkStart w:id="14" w:name="OLE_LINK2"/>
      <w:bookmarkStart w:id="15" w:name="_Toc513029242"/>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日志审计系统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（一）采购项目名称：日志审计系统购置项目</w:t>
      </w:r>
    </w:p>
    <w:p>
      <w:pPr>
        <w:spacing w:before="120" w:beforeLines="50" w:after="120" w:afterLines="50" w:line="500" w:lineRule="exact"/>
        <w:ind w:left="559" w:leftChars="254"/>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 njmu-20190117-8</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20万元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投标文件接收开始时间：2019年01月17日上午8:30（北京时间）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投标文件接收截止时间：2019年01月17日上午9:15前（北京时间）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开标时间：2019年01月17日上午9:15（北京时间）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项目需求方联系人：潘</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电话：025-86868136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20823274"/>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6938525"/>
      <w:bookmarkStart w:id="42" w:name="_Toc12061421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20823284"/>
      <w:bookmarkStart w:id="54" w:name="_Toc462564071"/>
      <w:bookmarkStart w:id="55" w:name="_Toc16938528"/>
      <w:bookmarkStart w:id="56" w:name="_Toc513029212"/>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513029215"/>
      <w:bookmarkStart w:id="68" w:name="_Toc16938531"/>
      <w:bookmarkStart w:id="69" w:name="_Toc462564074"/>
      <w:bookmarkStart w:id="70" w:name="_Toc20823287"/>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70403"/>
      <w:bookmarkEnd w:id="86"/>
      <w:bookmarkStart w:id="87" w:name="_Hlt26954844"/>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6"/>
      <w:bookmarkEnd w:id="91"/>
      <w:bookmarkStart w:id="92" w:name="_Hlt26670482"/>
      <w:bookmarkEnd w:id="92"/>
      <w:bookmarkStart w:id="93" w:name="_Hlt26954731"/>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49090510"/>
      <w:bookmarkStart w:id="97"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734"/>
      <w:bookmarkEnd w:id="98"/>
      <w:bookmarkStart w:id="99" w:name="_Hlt26670489"/>
      <w:bookmarkEnd w:id="99"/>
      <w:bookmarkStart w:id="100" w:name="_Hlt26954739"/>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20823296"/>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16938541"/>
      <w:bookmarkStart w:id="111" w:name="_Toc513029225"/>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513029229"/>
      <w:bookmarkStart w:id="124" w:name="_Toc120614218"/>
      <w:bookmarkStart w:id="125" w:name="_Toc20823301"/>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w:t>
      </w:r>
    </w:p>
    <w:p>
      <w:pPr>
        <w:pStyle w:val="27"/>
        <w:rPr>
          <w:bCs/>
          <w:sz w:val="28"/>
          <w:szCs w:val="28"/>
        </w:rPr>
      </w:pPr>
      <w:r>
        <w:rPr>
          <w:rFonts w:hint="eastAsia"/>
          <w:bCs/>
          <w:sz w:val="28"/>
          <w:szCs w:val="28"/>
        </w:rPr>
        <w:t>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3"/>
      <w:bookmarkStart w:id="149" w:name="OLE_LINK7"/>
      <w:bookmarkStart w:id="150" w:name="OLE_LINK4"/>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pStyle w:val="33"/>
        <w:numPr>
          <w:ilvl w:val="0"/>
          <w:numId w:val="3"/>
        </w:numPr>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tbl>
      <w:tblPr>
        <w:tblStyle w:val="2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shd w:val="clear" w:color="auto" w:fill="FFFFFF" w:themeFill="background1"/>
          </w:tcPr>
          <w:p>
            <w:pPr>
              <w:jc w:val="center"/>
              <w:rPr>
                <w:rFonts w:asciiTheme="minorEastAsia" w:hAnsiTheme="minorEastAsia"/>
                <w:bCs/>
                <w:szCs w:val="18"/>
              </w:rPr>
            </w:pPr>
            <w:r>
              <w:rPr>
                <w:rFonts w:hint="eastAsia" w:asciiTheme="minorEastAsia" w:hAnsiTheme="minorEastAsia"/>
                <w:bCs/>
                <w:szCs w:val="18"/>
              </w:rPr>
              <w:t>功能</w:t>
            </w:r>
          </w:p>
        </w:tc>
        <w:tc>
          <w:tcPr>
            <w:tcW w:w="7371" w:type="dxa"/>
            <w:shd w:val="clear" w:color="auto" w:fill="FFFFFF" w:themeFill="background1"/>
          </w:tcPr>
          <w:p>
            <w:pPr>
              <w:jc w:val="center"/>
              <w:rPr>
                <w:rFonts w:asciiTheme="minorEastAsia" w:hAnsiTheme="minorEastAsia"/>
                <w:bCs/>
                <w:szCs w:val="18"/>
              </w:rPr>
            </w:pPr>
            <w:r>
              <w:rPr>
                <w:rFonts w:hint="eastAsia" w:asciiTheme="minorEastAsia" w:hAnsiTheme="minorEastAsia"/>
                <w:bCs/>
                <w:szCs w:val="18"/>
              </w:rPr>
              <w:t>指标参数项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trPr>
        <w:tc>
          <w:tcPr>
            <w:tcW w:w="1129" w:type="dxa"/>
            <w:shd w:val="clear" w:color="auto" w:fill="auto"/>
          </w:tcPr>
          <w:p>
            <w:pPr>
              <w:jc w:val="center"/>
              <w:rPr>
                <w:rFonts w:asciiTheme="minorEastAsia" w:hAnsiTheme="minorEastAsia"/>
                <w:bCs/>
                <w:color w:val="000000" w:themeColor="text1"/>
                <w:szCs w:val="18"/>
              </w:rPr>
            </w:pPr>
            <w:r>
              <w:rPr>
                <w:rFonts w:asciiTheme="minorEastAsia" w:hAnsiTheme="minorEastAsia"/>
                <w:bCs/>
                <w:color w:val="000000" w:themeColor="text1"/>
                <w:szCs w:val="18"/>
              </w:rPr>
              <w:t>基本要求</w:t>
            </w:r>
          </w:p>
        </w:tc>
        <w:tc>
          <w:tcPr>
            <w:tcW w:w="7371" w:type="dxa"/>
            <w:shd w:val="clear" w:color="auto" w:fill="auto"/>
          </w:tcPr>
          <w:p>
            <w:pPr>
              <w:rPr>
                <w:rFonts w:asciiTheme="minorEastAsia" w:hAnsiTheme="minorEastAsia"/>
                <w:bCs/>
                <w:color w:val="000000" w:themeColor="text1"/>
                <w:szCs w:val="18"/>
              </w:rPr>
            </w:pPr>
            <w:r>
              <w:rPr>
                <w:rFonts w:asciiTheme="minorEastAsia" w:hAnsiTheme="minorEastAsia"/>
                <w:bCs/>
                <w:color w:val="000000" w:themeColor="text1"/>
                <w:szCs w:val="18"/>
              </w:rPr>
              <w:t>事件采集性能≥10000条/秒，事件处理性能≥3000条/秒，端口配置不少于</w:t>
            </w:r>
            <w:r>
              <w:rPr>
                <w:rFonts w:hint="eastAsia" w:asciiTheme="minorEastAsia" w:hAnsiTheme="minorEastAsia"/>
                <w:bCs/>
                <w:color w:val="000000" w:themeColor="text1"/>
                <w:szCs w:val="18"/>
              </w:rPr>
              <w:t>6个千兆电口</w:t>
            </w:r>
            <w:r>
              <w:rPr>
                <w:rFonts w:asciiTheme="minorEastAsia" w:hAnsiTheme="minorEastAsia"/>
                <w:bCs/>
                <w:color w:val="000000" w:themeColor="text1"/>
                <w:szCs w:val="18"/>
              </w:rPr>
              <w:t>、</w:t>
            </w:r>
            <w:r>
              <w:rPr>
                <w:rFonts w:hint="eastAsia" w:asciiTheme="minorEastAsia" w:hAnsiTheme="minorEastAsia"/>
                <w:bCs/>
                <w:color w:val="000000" w:themeColor="text1"/>
                <w:szCs w:val="18"/>
              </w:rPr>
              <w:t>1个Console</w:t>
            </w:r>
            <w:r>
              <w:rPr>
                <w:rFonts w:asciiTheme="minorEastAsia" w:hAnsiTheme="minorEastAsia"/>
                <w:bCs/>
                <w:color w:val="000000" w:themeColor="text1"/>
                <w:szCs w:val="18"/>
              </w:rPr>
              <w:t>口、</w:t>
            </w:r>
            <w:r>
              <w:rPr>
                <w:rFonts w:hint="eastAsia" w:asciiTheme="minorEastAsia" w:hAnsiTheme="minorEastAsia"/>
                <w:bCs/>
                <w:color w:val="000000" w:themeColor="text1"/>
                <w:szCs w:val="18"/>
              </w:rPr>
              <w:t>2个扩展插槽</w:t>
            </w:r>
            <w:r>
              <w:rPr>
                <w:rFonts w:asciiTheme="minorEastAsia" w:hAnsiTheme="minorEastAsia"/>
                <w:bCs/>
                <w:color w:val="000000" w:themeColor="text1"/>
                <w:szCs w:val="18"/>
              </w:rPr>
              <w:t>，内存≥8GB，存储≥4TB，标准1U机箱。本次招标采购50个日志审计授权节点。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trPr>
        <w:tc>
          <w:tcPr>
            <w:tcW w:w="1129" w:type="dxa"/>
            <w:shd w:val="clear" w:color="auto" w:fill="auto"/>
          </w:tcPr>
          <w:p>
            <w:pPr>
              <w:jc w:val="center"/>
              <w:rPr>
                <w:rFonts w:asciiTheme="minorEastAsia" w:hAnsiTheme="minorEastAsia"/>
                <w:bCs/>
                <w:color w:val="000000" w:themeColor="text1"/>
                <w:szCs w:val="18"/>
              </w:rPr>
            </w:pPr>
            <w:r>
              <w:rPr>
                <w:rFonts w:asciiTheme="minorEastAsia" w:hAnsiTheme="minorEastAsia"/>
                <w:bCs/>
                <w:color w:val="000000" w:themeColor="text1"/>
                <w:szCs w:val="18"/>
              </w:rPr>
              <w:t>显示</w:t>
            </w:r>
          </w:p>
        </w:tc>
        <w:tc>
          <w:tcPr>
            <w:tcW w:w="7371" w:type="dxa"/>
            <w:shd w:val="clear" w:color="auto" w:fill="auto"/>
          </w:tcPr>
          <w:p>
            <w:pPr>
              <w:rPr>
                <w:rFonts w:asciiTheme="minorEastAsia" w:hAnsiTheme="minorEastAsia"/>
                <w:bCs/>
                <w:color w:val="000000" w:themeColor="text1"/>
                <w:szCs w:val="18"/>
              </w:rPr>
            </w:pPr>
            <w:r>
              <w:rPr>
                <w:rFonts w:hint="eastAsia" w:asciiTheme="minorEastAsia" w:hAnsiTheme="minorEastAsia"/>
                <w:bCs/>
                <w:color w:val="000000" w:themeColor="text1"/>
                <w:sz w:val="28"/>
                <w:szCs w:val="28"/>
              </w:rPr>
              <w:t>★</w:t>
            </w:r>
            <w:r>
              <w:rPr>
                <w:rFonts w:asciiTheme="minorEastAsia" w:hAnsiTheme="minorEastAsia"/>
                <w:bCs/>
                <w:color w:val="000000" w:themeColor="text1"/>
                <w:szCs w:val="18"/>
              </w:rPr>
              <w:t>设备面板具备液晶显示屏，</w:t>
            </w:r>
            <w:r>
              <w:rPr>
                <w:rFonts w:hint="eastAsia" w:asciiTheme="minorEastAsia" w:hAnsiTheme="minorEastAsia"/>
                <w:bCs/>
                <w:color w:val="000000" w:themeColor="text1"/>
                <w:szCs w:val="18"/>
              </w:rPr>
              <w:t>显示接口IP，CPU，内存利用率。</w:t>
            </w:r>
            <w:r>
              <w:rPr>
                <w:rFonts w:asciiTheme="minorEastAsia" w:hAnsiTheme="minorEastAsia"/>
                <w:bCs/>
                <w:color w:val="000000" w:themeColor="text1"/>
                <w:szCs w:val="18"/>
              </w:rPr>
              <w:t>（提供设备实物照片证明，加盖厂商公章）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shd w:val="clear" w:color="auto" w:fill="auto"/>
          </w:tcPr>
          <w:p>
            <w:pPr>
              <w:jc w:val="center"/>
              <w:rPr>
                <w:rFonts w:asciiTheme="minorEastAsia" w:hAnsiTheme="minorEastAsia"/>
                <w:bCs/>
                <w:color w:val="000000" w:themeColor="text1"/>
                <w:szCs w:val="18"/>
              </w:rPr>
            </w:pPr>
            <w:r>
              <w:rPr>
                <w:rFonts w:hint="eastAsia" w:asciiTheme="minorEastAsia" w:hAnsiTheme="minorEastAsia"/>
                <w:bCs/>
                <w:color w:val="000000" w:themeColor="text1"/>
                <w:szCs w:val="18"/>
              </w:rPr>
              <w:t>部署模式</w:t>
            </w:r>
          </w:p>
        </w:tc>
        <w:tc>
          <w:tcPr>
            <w:tcW w:w="7371" w:type="dxa"/>
            <w:shd w:val="clear" w:color="auto" w:fill="auto"/>
          </w:tcPr>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支持单一部署，也支持级联部署</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管理中心内嵌数据库，用户无需另外安装数据库管理系统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tcPr>
          <w:p>
            <w:pPr>
              <w:jc w:val="center"/>
              <w:rPr>
                <w:rFonts w:asciiTheme="minorEastAsia" w:hAnsiTheme="minorEastAsia"/>
                <w:bCs/>
                <w:color w:val="000000" w:themeColor="text1"/>
                <w:szCs w:val="18"/>
              </w:rPr>
            </w:pPr>
            <w:r>
              <w:rPr>
                <w:rFonts w:hint="eastAsia" w:cs="宋体" w:asciiTheme="minorEastAsia" w:hAnsiTheme="minorEastAsia"/>
                <w:bCs/>
                <w:color w:val="000000" w:themeColor="text1"/>
                <w:szCs w:val="18"/>
              </w:rPr>
              <w:t>使用模式</w:t>
            </w:r>
          </w:p>
        </w:tc>
        <w:tc>
          <w:tcPr>
            <w:tcW w:w="7371" w:type="dxa"/>
          </w:tcPr>
          <w:p>
            <w:pPr>
              <w:rPr>
                <w:rFonts w:asciiTheme="minorEastAsia" w:hAnsiTheme="minorEastAsia"/>
                <w:bCs/>
                <w:color w:val="000000" w:themeColor="text1"/>
                <w:szCs w:val="18"/>
              </w:rPr>
            </w:pPr>
            <w:r>
              <w:rPr>
                <w:rFonts w:hint="eastAsia" w:asciiTheme="minorEastAsia" w:hAnsiTheme="minorEastAsia"/>
                <w:bCs/>
                <w:color w:val="000000" w:themeColor="text1"/>
                <w:szCs w:val="18"/>
              </w:rPr>
              <w:t>界面100%都是B/S模式，无需安装客户端，使用浏览器访问管理中心，支持  IE，Chrome浏览器，浏览器端无需安装Java运行环境。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Align w:val="center"/>
          </w:tcPr>
          <w:p>
            <w:pPr>
              <w:jc w:val="cente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管理范围</w:t>
            </w:r>
          </w:p>
        </w:tc>
        <w:tc>
          <w:tcPr>
            <w:tcW w:w="7371"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能够对企业和组织的IT资源中构成业务信息系统的各种网络设备、安全设备、安全系统、主机操作系统、数据库、中间件以及各种应用系统的日志、事件、告警等安全信息进行全面的审计，最大支持 1000个日志源事件采集。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Align w:val="center"/>
          </w:tcPr>
          <w:p>
            <w:pPr>
              <w:jc w:val="center"/>
              <w:rPr>
                <w:rFonts w:cs="宋体" w:asciiTheme="minorEastAsia" w:hAnsiTheme="minorEastAsia"/>
                <w:bCs/>
                <w:color w:val="000000" w:themeColor="text1"/>
                <w:szCs w:val="18"/>
              </w:rPr>
            </w:pPr>
            <w:r>
              <w:rPr>
                <w:rFonts w:cs="宋体" w:asciiTheme="minorEastAsia" w:hAnsiTheme="minorEastAsia"/>
                <w:bCs/>
                <w:color w:val="000000" w:themeColor="text1"/>
                <w:szCs w:val="18"/>
              </w:rPr>
              <w:t>访问控制</w:t>
            </w:r>
          </w:p>
        </w:tc>
        <w:tc>
          <w:tcPr>
            <w:tcW w:w="7371" w:type="dxa"/>
          </w:tcPr>
          <w:p>
            <w:pPr>
              <w:rPr>
                <w:rFonts w:cs="宋体" w:asciiTheme="minorEastAsia" w:hAnsiTheme="minorEastAsia"/>
                <w:bCs/>
                <w:color w:val="000000" w:themeColor="text1"/>
                <w:szCs w:val="18"/>
              </w:rPr>
            </w:pPr>
            <w:r>
              <w:rPr>
                <w:rFonts w:hint="eastAsia" w:asciiTheme="minorEastAsia" w:hAnsiTheme="minorEastAsia"/>
                <w:bCs/>
                <w:color w:val="000000" w:themeColor="text1"/>
                <w:sz w:val="28"/>
                <w:szCs w:val="28"/>
              </w:rPr>
              <w:t>★</w:t>
            </w:r>
            <w:r>
              <w:rPr>
                <w:rFonts w:hint="eastAsia"/>
                <w:bCs/>
                <w:color w:val="000000" w:themeColor="text1"/>
              </w:rPr>
              <w:t>对登陆系统的客户端的IP地址进行限制，可以是单个IP址或者IP地址段</w:t>
            </w:r>
            <w:r>
              <w:rPr>
                <w:bCs/>
                <w:color w:val="000000" w:themeColor="text1"/>
              </w:rPr>
              <w:t>。</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tcPr>
          <w:p>
            <w:pPr>
              <w:jc w:val="center"/>
              <w:rPr>
                <w:rFonts w:asciiTheme="minorEastAsia" w:hAnsiTheme="minorEastAsia"/>
                <w:bCs/>
                <w:color w:val="000000" w:themeColor="text1"/>
                <w:szCs w:val="18"/>
              </w:rPr>
            </w:pPr>
            <w:r>
              <w:rPr>
                <w:rFonts w:asciiTheme="minorEastAsia" w:hAnsiTheme="minorEastAsia"/>
                <w:bCs/>
                <w:color w:val="000000" w:themeColor="text1"/>
                <w:szCs w:val="18"/>
              </w:rPr>
              <w:t>审计对象</w:t>
            </w:r>
          </w:p>
        </w:tc>
        <w:tc>
          <w:tcPr>
            <w:tcW w:w="7371" w:type="dxa"/>
          </w:tcPr>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支持审计各种网络设备（路由器、交换机、等）配置日志、运行日志、告警日志等；</w:t>
            </w:r>
          </w:p>
          <w:p>
            <w:pPr>
              <w:rPr>
                <w:rFonts w:asciiTheme="minorEastAsia" w:hAnsiTheme="minorEastAsia"/>
                <w:bCs/>
                <w:color w:val="000000" w:themeColor="text1"/>
                <w:szCs w:val="18"/>
              </w:rPr>
            </w:pPr>
            <w:r>
              <w:rPr>
                <w:rFonts w:asciiTheme="minorEastAsia" w:hAnsiTheme="minorEastAsia"/>
                <w:bCs/>
                <w:color w:val="000000" w:themeColor="text1"/>
                <w:szCs w:val="18"/>
              </w:rPr>
              <w:t>支持审计</w:t>
            </w:r>
            <w:r>
              <w:rPr>
                <w:rFonts w:hint="eastAsia" w:asciiTheme="minorEastAsia" w:hAnsiTheme="minorEastAsia"/>
                <w:bCs/>
                <w:color w:val="000000" w:themeColor="text1"/>
                <w:szCs w:val="18"/>
              </w:rPr>
              <w:t>各种</w:t>
            </w:r>
            <w:r>
              <w:rPr>
                <w:rFonts w:asciiTheme="minorEastAsia" w:hAnsiTheme="minorEastAsia"/>
                <w:bCs/>
                <w:color w:val="000000" w:themeColor="text1"/>
                <w:szCs w:val="18"/>
              </w:rPr>
              <w:t>安全设备</w:t>
            </w:r>
            <w:r>
              <w:rPr>
                <w:rFonts w:hint="eastAsia" w:asciiTheme="minorEastAsia" w:hAnsiTheme="minorEastAsia"/>
                <w:bCs/>
                <w:color w:val="000000" w:themeColor="text1"/>
                <w:szCs w:val="18"/>
              </w:rPr>
              <w:t>（防火墙、IDS、IPS、VPN、防病毒网关，网闸，防DDOS攻击，Web应用防火墙、等）配置日志、运行日志、告警日志等；</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支持审计各种主机操作系统（包括Windows,Solaris, Linux, AIX, HP-UX,UNIX,AS400）配置日志、运行日志、告警日志等；</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支持审计各种数据库（Oracle、Sqlserver、Mysql、DB2、Sybase、Informix）配置日志、运行日志、告警日志等；</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支持审计各种中间件（tomcat、apache、</w:t>
            </w:r>
            <w:r>
              <w:rPr>
                <w:rFonts w:asciiTheme="minorEastAsia" w:hAnsiTheme="minorEastAsia"/>
                <w:bCs/>
                <w:color w:val="000000" w:themeColor="text1"/>
                <w:szCs w:val="18"/>
              </w:rPr>
              <w:t>webshpere</w:t>
            </w:r>
            <w:r>
              <w:rPr>
                <w:rFonts w:hint="eastAsia" w:asciiTheme="minorEastAsia" w:hAnsiTheme="minorEastAsia"/>
                <w:bCs/>
                <w:color w:val="000000" w:themeColor="text1"/>
                <w:szCs w:val="18"/>
              </w:rPr>
              <w:t>、</w:t>
            </w:r>
            <w:r>
              <w:rPr>
                <w:rFonts w:asciiTheme="minorEastAsia" w:hAnsiTheme="minorEastAsia"/>
                <w:bCs/>
                <w:color w:val="000000" w:themeColor="text1"/>
                <w:szCs w:val="18"/>
              </w:rPr>
              <w:t xml:space="preserve"> weblogic等</w:t>
            </w:r>
            <w:r>
              <w:rPr>
                <w:rFonts w:hint="eastAsia" w:asciiTheme="minorEastAsia" w:hAnsiTheme="minorEastAsia"/>
                <w:bCs/>
                <w:color w:val="000000" w:themeColor="text1"/>
                <w:szCs w:val="18"/>
              </w:rPr>
              <w:t>）配置日志、运行日志、告警日志等；</w:t>
            </w:r>
          </w:p>
          <w:p>
            <w:pPr>
              <w:rPr>
                <w:rFonts w:asciiTheme="minorEastAsia" w:hAnsiTheme="minorEastAsia"/>
                <w:bCs/>
                <w:color w:val="000000" w:themeColor="text1"/>
                <w:szCs w:val="18"/>
              </w:rPr>
            </w:pPr>
            <w:r>
              <w:rPr>
                <w:rFonts w:asciiTheme="minorEastAsia" w:hAnsiTheme="minorEastAsia"/>
                <w:bCs/>
                <w:color w:val="000000" w:themeColor="text1"/>
                <w:szCs w:val="18"/>
              </w:rPr>
              <w:t>支持各种应用</w:t>
            </w:r>
            <w:r>
              <w:rPr>
                <w:rFonts w:hint="eastAsia" w:asciiTheme="minorEastAsia" w:hAnsiTheme="minorEastAsia"/>
                <w:bCs/>
                <w:color w:val="000000" w:themeColor="text1"/>
                <w:szCs w:val="18"/>
              </w:rPr>
              <w:t>各种应用系统（邮件，Web，FTP，Telnet、等）配置日志、运行日志、告警日志等；</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以及用户自己的业务系统的日志、事件、告警等安全信息进行全面的审计。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tcPr>
          <w:p>
            <w:pPr>
              <w:jc w:val="center"/>
              <w:rPr>
                <w:rFonts w:asciiTheme="minorEastAsia" w:hAnsiTheme="minorEastAsia"/>
                <w:bCs/>
                <w:color w:val="000000" w:themeColor="text1"/>
                <w:szCs w:val="18"/>
              </w:rPr>
            </w:pPr>
            <w:r>
              <w:rPr>
                <w:rFonts w:hint="eastAsia" w:asciiTheme="minorEastAsia" w:hAnsiTheme="minorEastAsia"/>
                <w:bCs/>
                <w:color w:val="000000" w:themeColor="text1"/>
                <w:szCs w:val="18"/>
              </w:rPr>
              <w:t>采集方式</w:t>
            </w:r>
          </w:p>
        </w:tc>
        <w:tc>
          <w:tcPr>
            <w:tcW w:w="7371" w:type="dxa"/>
          </w:tcPr>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支持通过syslog、snmp trap、netflow、jdbc、odbc、agent代理、wmi等多种方式完成各种日志的收集功能；</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对windows服务器（系统、应用和安全）日志和文件类型日志，可免日志代理或插件，支持用户环境中EVT格式的业务系统日志采集。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资产管理</w:t>
            </w:r>
          </w:p>
        </w:tc>
        <w:tc>
          <w:tcPr>
            <w:tcW w:w="7371"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按照设备资产重要程度和管理域的方式组织设备资产，提供便捷的添加、修改、删除、查询与统计功能；</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支持资产信息的批量导入和导出，便于安全管理和系统管理人员能方便地查找所需设备资产的信息，并对资产进行关键度赋值；</w:t>
            </w:r>
          </w:p>
          <w:p>
            <w:pPr>
              <w:rPr>
                <w:rFonts w:cs="宋体" w:asciiTheme="minorEastAsia" w:hAnsiTheme="minorEastAsia"/>
                <w:bCs/>
                <w:color w:val="000000" w:themeColor="text1"/>
                <w:szCs w:val="18"/>
              </w:rPr>
            </w:pPr>
            <w:r>
              <w:rPr>
                <w:rFonts w:hint="eastAsia" w:asciiTheme="minorEastAsia" w:hAnsiTheme="minorEastAsia"/>
                <w:bCs/>
                <w:color w:val="000000" w:themeColor="text1"/>
                <w:sz w:val="28"/>
                <w:szCs w:val="28"/>
              </w:rPr>
              <w:t>★</w:t>
            </w:r>
            <w:r>
              <w:rPr>
                <w:rFonts w:cs="宋体" w:asciiTheme="minorEastAsia" w:hAnsiTheme="minorEastAsia"/>
                <w:bCs/>
                <w:color w:val="000000" w:themeColor="text1"/>
                <w:szCs w:val="18"/>
              </w:rPr>
              <w:t>支持自定义资产属性</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支持对资产日志进行过滤，设置允许接收和拒绝接收日志，并可以对资产设置一定时间范围内未收到事件后进行主动告警。（</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9" w:type="dxa"/>
          </w:tcPr>
          <w:p>
            <w:pPr>
              <w:jc w:val="center"/>
              <w:rPr>
                <w:rFonts w:asciiTheme="minorEastAsia" w:hAnsiTheme="minorEastAsia"/>
                <w:bCs/>
                <w:color w:val="000000" w:themeColor="text1"/>
                <w:szCs w:val="18"/>
              </w:rPr>
            </w:pPr>
            <w:r>
              <w:rPr>
                <w:rFonts w:hint="eastAsia" w:asciiTheme="minorEastAsia" w:hAnsiTheme="minorEastAsia"/>
                <w:bCs/>
                <w:color w:val="000000" w:themeColor="text1"/>
                <w:szCs w:val="18"/>
              </w:rPr>
              <w:t>日志归一化</w:t>
            </w:r>
          </w:p>
        </w:tc>
        <w:tc>
          <w:tcPr>
            <w:tcW w:w="7371" w:type="dxa"/>
          </w:tcPr>
          <w:p>
            <w:pPr>
              <w:rPr>
                <w:rFonts w:asciiTheme="minorEastAsia" w:hAnsiTheme="minorEastAsia"/>
                <w:bCs/>
                <w:color w:val="000000" w:themeColor="text1"/>
                <w:szCs w:val="18"/>
              </w:rPr>
            </w:pPr>
            <w:r>
              <w:rPr>
                <w:rFonts w:hint="eastAsia" w:asciiTheme="minorEastAsia" w:hAnsiTheme="minorEastAsia"/>
                <w:bCs/>
                <w:color w:val="000000" w:themeColor="text1"/>
                <w:szCs w:val="18"/>
              </w:rPr>
              <w:t>支持采集一化后的日志和保留原始日志，方便用户对关键日志快速定位，和事后取证；</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日志收集后进行字段和安全等级的归一化处理，系统归一化字段不少于50个字段,并至少有8个可自定义字段</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r>
              <w:rPr>
                <w:rFonts w:hint="eastAsia" w:asciiTheme="minorEastAsia" w:hAnsiTheme="minorEastAsia"/>
                <w:bCs/>
                <w:color w:val="000000" w:themeColor="text1"/>
                <w:szCs w:val="18"/>
              </w:rPr>
              <w:t>；</w:t>
            </w:r>
          </w:p>
          <w:p>
            <w:pPr>
              <w:rPr>
                <w:rFonts w:asciiTheme="minorEastAsia" w:hAnsiTheme="minorEastAsia"/>
                <w:bCs/>
                <w:color w:val="000000" w:themeColor="text1"/>
                <w:szCs w:val="18"/>
              </w:rPr>
            </w:pPr>
            <w:r>
              <w:rPr>
                <w:rFonts w:hint="eastAsia" w:asciiTheme="minorEastAsia" w:hAnsiTheme="minorEastAsia"/>
                <w:bCs/>
                <w:color w:val="000000" w:themeColor="text1"/>
                <w:szCs w:val="18"/>
              </w:rPr>
              <w:t>系统提供灵活简单的归一化方式,对系统新增的日志类型只需修改配置文件即可支持,不需修改系统程序</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r>
              <w:rPr>
                <w:rFonts w:hint="eastAsia"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日志查询</w:t>
            </w:r>
          </w:p>
        </w:tc>
        <w:tc>
          <w:tcPr>
            <w:tcW w:w="7371"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所有日志采用统一的日志查询界面，支持自定义查询场景，并以树形结构组织保存；</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支持原始消息中的关键字查询，可进行全文检索；</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查询显示查询记录总数，当前查询耗时，可对查询结果跳转到指定页数；</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查询结果可支持导出、支持对查询结果任意字段进行排序；</w:t>
            </w:r>
          </w:p>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支持设备地址</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源地址</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目的地址等IP地址条件按照IP段和网段进行查询</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ascii="宋体" w:hAnsi="宋体" w:cs="宋体"/>
                <w:bCs/>
                <w:color w:val="000000" w:themeColor="text1"/>
                <w:szCs w:val="21"/>
              </w:rPr>
              <w:t>★</w:t>
            </w:r>
            <w:r>
              <w:rPr>
                <w:rFonts w:cs="宋体" w:asciiTheme="minorEastAsia" w:hAnsiTheme="minorEastAsia"/>
                <w:bCs/>
                <w:color w:val="000000" w:themeColor="text1"/>
                <w:szCs w:val="18"/>
              </w:rPr>
              <w:t>支持模糊查询</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实时监视</w:t>
            </w:r>
          </w:p>
        </w:tc>
        <w:tc>
          <w:tcPr>
            <w:tcW w:w="7371"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支持实时的日志滚动显示，可通过雷达图等直观显示目前日志量和日志详细信息。</w:t>
            </w:r>
          </w:p>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支持对实时展示的字段进行选择</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调整字段顺序</w:t>
            </w:r>
            <w:r>
              <w:rPr>
                <w:rFonts w:hint="eastAsia" w:cs="宋体" w:asciiTheme="minorEastAsia" w:hAnsiTheme="minorEastAsia"/>
                <w:bCs/>
                <w:color w:val="000000" w:themeColor="text1"/>
                <w:szCs w:val="18"/>
              </w:rPr>
              <w:t>，修改显示字段别名。</w:t>
            </w:r>
          </w:p>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双击单条日志显示详细信息</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支持左右布局和上下布局</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支持自定义实时监视场景，提供可视化规则编辑视图，对关注的事件进行实时展示（</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支持鼠标放在日志对应字段上界面可悬浮提示资产信息和常用端口信息（</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tcPr>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实时分析</w:t>
            </w:r>
          </w:p>
        </w:tc>
        <w:tc>
          <w:tcPr>
            <w:tcW w:w="7371"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可对收集的日志进行分类实时分析和统计，从而快速识别安全事故；</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分析统计结果支持柱图、饼图、曲线图等形式并自动实时刷新，图表数据支持数据下钻；</w:t>
            </w:r>
          </w:p>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支持统计分析的时长设定</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分析结果支持导出</w:t>
            </w:r>
            <w:r>
              <w:rPr>
                <w:rFonts w:hint="eastAsia" w:cs="宋体" w:asciiTheme="minorEastAsia" w:hAnsiTheme="minorEastAsia"/>
                <w:bCs/>
                <w:color w:val="000000" w:themeColor="text1"/>
                <w:szCs w:val="18"/>
              </w:rPr>
              <w:t>报表</w:t>
            </w:r>
            <w:r>
              <w:rPr>
                <w:rFonts w:cs="宋体" w:asciiTheme="minorEastAsia" w:hAnsiTheme="minorEastAsia"/>
                <w:bCs/>
                <w:color w:val="000000" w:themeColor="text1"/>
                <w:szCs w:val="18"/>
              </w:rPr>
              <w:t>PDF</w:t>
            </w:r>
            <w:r>
              <w:rPr>
                <w:rFonts w:hint="eastAsia" w:cs="宋体" w:asciiTheme="minorEastAsia" w:hAnsiTheme="minorEastAsia"/>
                <w:bCs/>
                <w:color w:val="000000" w:themeColor="text1"/>
                <w:szCs w:val="18"/>
              </w:rPr>
              <w:t>，HTML，RTF</w:t>
            </w:r>
            <w:r>
              <w:rPr>
                <w:rFonts w:cs="宋体" w:asciiTheme="minorEastAsia" w:hAnsiTheme="minorEastAsia"/>
                <w:bCs/>
                <w:color w:val="000000" w:themeColor="text1"/>
                <w:szCs w:val="18"/>
              </w:rPr>
              <w:t>,XLS,PNG,DOCX,XLSX</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支持自定义实时分析场景，提供可视化规则编辑视图，根据实际业务编写分析规则；（</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用户在实时监视的过程中如果发现某条事件的相关属性需要持续予以关注，可以将该事件分配到黑白名单中；</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支持对于关联事件进行追溯，查看导致该关联事件的所有原始事件。（</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可视化展现</w:t>
            </w:r>
          </w:p>
        </w:tc>
        <w:tc>
          <w:tcPr>
            <w:tcW w:w="7371" w:type="dxa"/>
            <w:vAlign w:val="center"/>
          </w:tcPr>
          <w:p>
            <w:pPr>
              <w:rPr>
                <w:rFonts w:cs="宋体" w:asciiTheme="minorEastAsia" w:hAnsiTheme="minorEastAsia"/>
                <w:bCs/>
                <w:color w:val="000000" w:themeColor="text1"/>
                <w:szCs w:val="18"/>
              </w:rPr>
            </w:pPr>
            <w:r>
              <w:rPr>
                <w:rFonts w:hint="eastAsia" w:ascii="宋体" w:hAnsi="宋体" w:cs="宋体"/>
                <w:bCs/>
                <w:color w:val="000000" w:themeColor="text1"/>
                <w:szCs w:val="21"/>
              </w:rPr>
              <w:t>★</w:t>
            </w:r>
            <w:r>
              <w:rPr>
                <w:rFonts w:hint="eastAsia" w:cs="宋体" w:asciiTheme="minorEastAsia" w:hAnsiTheme="minorEastAsia"/>
                <w:bCs/>
                <w:color w:val="000000" w:themeColor="text1"/>
                <w:szCs w:val="18"/>
              </w:rPr>
              <w:t>能够在世界地图上实时定位事件源/目的IP地址的地理位置（包括二维及三维显示方式）；（</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系统能够将数千条事件记录及其这些事件之间的关联关系变成一幅事件图，形象地展现出一段时间内的用户访问行为。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关联分析</w:t>
            </w:r>
          </w:p>
        </w:tc>
        <w:tc>
          <w:tcPr>
            <w:tcW w:w="7371"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系统提供可视化规则编辑器，对告警规则进行增删改查。</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系统内置针对服务器和其他安全设备的访问ip地址、访问账户和访问时间的访问控制规则；</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告警规则可按照树型结构组织，并可在该树型结构上直接查看该规则的告警信息，对告警日志可按各告警字段进行分组排序。</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可对不同类型设备的日志之间进行关联分析，支持递归关联，统计关联，时序关联，这几种关联方式能同时应用于一个关联分析规则</w:t>
            </w:r>
            <w:r>
              <w:rPr>
                <w:rFonts w:cs="宋体" w:asciiTheme="minorEastAsia" w:hAnsiTheme="minorEastAsia"/>
                <w:bCs/>
                <w:color w:val="000000" w:themeColor="text1"/>
                <w:szCs w:val="18"/>
              </w:rPr>
              <w:t>。</w:t>
            </w:r>
            <w:r>
              <w:rPr>
                <w:rFonts w:hint="eastAsia" w:cs="宋体" w:asciiTheme="minorEastAsia" w:hAnsiTheme="minorEastAsia"/>
                <w:bCs/>
                <w:color w:val="000000" w:themeColor="text1"/>
                <w:szCs w:val="18"/>
              </w:rPr>
              <w:t>（</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告警管理</w:t>
            </w:r>
          </w:p>
        </w:tc>
        <w:tc>
          <w:tcPr>
            <w:tcW w:w="7371"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通过关联分析，对于发现的严重事件可以进行自动告警，告警内容支持用户自定义字段；告警方式包括邮件、短信、SNMP Trap、Syslog、MSN、飞鸽传书、设备联动等；</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响应方式包括：自动执行预定义脚本，自动将事件属性作为参数传递给特定命令行程序。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报表管理</w:t>
            </w:r>
          </w:p>
        </w:tc>
        <w:tc>
          <w:tcPr>
            <w:tcW w:w="7371"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提供丰富的报表管理功能，预定义了针对各类服务器、网络设备、防火墙、入侵检测系统、防病毒系统、终端安全管理系统、数据库、策略变更、流量，设备事件趋势以及总体报表，满足等保等其他合规性要求；根据时间、数据类型等生成报表，提供打印、导出以及邮件送达等服务；直观地为管理员提供决策和分析的数据基础，帮助管理员掌握网络及业务系统的状况。报表可以保存为html，excel，文本，pdf等多种格式。</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提供自定义报表，用户可根据自身需要进行定制。报表可根据设置自动运行,调度生成日报、周报和月报。（</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备份归档</w:t>
            </w:r>
          </w:p>
        </w:tc>
        <w:tc>
          <w:tcPr>
            <w:tcW w:w="7371" w:type="dxa"/>
          </w:tcPr>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支持使用在线和离线方式存储数据</w:t>
            </w:r>
            <w:r>
              <w:rPr>
                <w:rFonts w:hint="eastAsia" w:cs="宋体" w:asciiTheme="minorEastAsia" w:hAnsiTheme="minorEastAsia"/>
                <w:bCs/>
                <w:color w:val="000000" w:themeColor="text1"/>
                <w:szCs w:val="18"/>
              </w:rPr>
              <w:t>，支持数据备份到远程服务器；</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支持按周期的方式选择备份，支持原始日志与分析后日志分离，支持历史日志恢复导入；</w:t>
            </w:r>
            <w:r>
              <w:rPr>
                <w:rFonts w:cs="宋体" w:asciiTheme="minorEastAsia" w:hAnsiTheme="minorEastAsia"/>
                <w:bCs/>
                <w:color w:val="000000" w:themeColor="text1"/>
                <w:szCs w:val="18"/>
              </w:rPr>
              <w:t xml:space="preserve"> </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支持各种配置项的备份和导入。支持各种配置项的一键备份和恢复；</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当磁盘空间日志存储量达到一定百分比时可设定为删除磁盘中的历史日志或接收的日志不再入库，并进行告警；手动备份和恢复时，可以显示恢复和备份的进度。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监控主页</w:t>
            </w:r>
          </w:p>
        </w:tc>
        <w:tc>
          <w:tcPr>
            <w:tcW w:w="7371"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系统应提供从总体上把握日志告警和日志统计分析的实时综合性监控界面。界面由多个监控组件组成，用户可以自定义监控主页。（</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系统管理</w:t>
            </w:r>
          </w:p>
        </w:tc>
        <w:tc>
          <w:tcPr>
            <w:tcW w:w="7371"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采用基于角色的权限管理机制，通过角色定义支持多用户访问；</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支持禁止与允许用户访问日志审计系统的IP地址限制；</w:t>
            </w:r>
          </w:p>
          <w:p>
            <w:pPr>
              <w:rPr>
                <w:rFonts w:cs="宋体" w:asciiTheme="minorEastAsia" w:hAnsiTheme="minorEastAsia"/>
                <w:bCs/>
                <w:color w:val="000000" w:themeColor="text1"/>
                <w:szCs w:val="18"/>
              </w:rPr>
            </w:pPr>
            <w:r>
              <w:rPr>
                <w:rFonts w:hint="eastAsia" w:ascii="宋体" w:hAnsi="宋体" w:cs="宋体"/>
                <w:bCs/>
                <w:color w:val="000000" w:themeColor="text1"/>
                <w:szCs w:val="21"/>
              </w:rPr>
              <w:t>★</w:t>
            </w:r>
            <w:r>
              <w:rPr>
                <w:rFonts w:hint="eastAsia" w:cs="宋体" w:asciiTheme="minorEastAsia" w:hAnsiTheme="minorEastAsia"/>
                <w:bCs/>
                <w:color w:val="000000" w:themeColor="text1"/>
                <w:szCs w:val="18"/>
              </w:rPr>
              <w:t>支持三权分立；（</w:t>
            </w:r>
            <w:r>
              <w:rPr>
                <w:rFonts w:cs="宋体" w:asciiTheme="minorEastAsia" w:hAnsiTheme="minorEastAsia"/>
                <w:bCs/>
                <w:color w:val="000000" w:themeColor="text1"/>
                <w:szCs w:val="18"/>
              </w:rPr>
              <w:t>提供</w:t>
            </w:r>
            <w:r>
              <w:rPr>
                <w:rFonts w:hint="eastAsia" w:cs="宋体" w:asciiTheme="minorEastAsia" w:hAnsiTheme="minorEastAsia"/>
                <w:bCs/>
                <w:color w:val="000000" w:themeColor="text1"/>
                <w:szCs w:val="18"/>
              </w:rPr>
              <w:t>截图证明</w:t>
            </w:r>
            <w:r>
              <w:rPr>
                <w:rFonts w:cs="宋体" w:asciiTheme="minorEastAsia" w:hAnsiTheme="minorEastAsia"/>
                <w:bCs/>
                <w:color w:val="000000" w:themeColor="text1"/>
                <w:szCs w:val="18"/>
              </w:rPr>
              <w:t>，并加盖厂商公章</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系统自身的健康状况监控，包括CPU、内存、磁盘的利用率；</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系统口令错误次数可设置，超过错误次数锁定，锁定时间可设置。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级联管理</w:t>
            </w:r>
          </w:p>
        </w:tc>
        <w:tc>
          <w:tcPr>
            <w:tcW w:w="7371"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支持上下数据级级联转发；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系统认证</w:t>
            </w:r>
          </w:p>
        </w:tc>
        <w:tc>
          <w:tcPr>
            <w:tcW w:w="7371" w:type="dxa"/>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产品内部的各个组件之间通信都支持加密传输，浏览器访问管理中心支持</w:t>
            </w:r>
            <w:r>
              <w:rPr>
                <w:rFonts w:asciiTheme="minorEastAsia" w:hAnsiTheme="minorEastAsia"/>
                <w:bCs/>
                <w:color w:val="000000" w:themeColor="text1"/>
                <w:szCs w:val="18"/>
              </w:rPr>
              <w:t>HTTPS</w:t>
            </w:r>
            <w:r>
              <w:rPr>
                <w:rFonts w:hint="eastAsia" w:cs="宋体" w:asciiTheme="minorEastAsia" w:hAnsiTheme="minorEastAsia"/>
                <w:bCs/>
                <w:color w:val="000000" w:themeColor="text1"/>
                <w:szCs w:val="18"/>
              </w:rPr>
              <w:t>；</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浏览器支持session过期保护，支持超时退出机制；</w:t>
            </w:r>
          </w:p>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支持用户名密码认证方式，认证时需要提供验证码，用户身份鉴别失败的次数达到设定阈值时，产生系统告警消息，通知授权管理员；支持动态口令认证。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hint="eastAsia" w:cs="宋体" w:asciiTheme="minorEastAsia" w:hAnsiTheme="minorEastAsia"/>
                <w:bCs/>
                <w:color w:val="000000" w:themeColor="text1"/>
                <w:szCs w:val="18"/>
              </w:rPr>
              <w:t>IPv6支持</w:t>
            </w:r>
          </w:p>
        </w:tc>
        <w:tc>
          <w:tcPr>
            <w:tcW w:w="7371" w:type="dxa"/>
            <w:vAlign w:val="center"/>
          </w:tcPr>
          <w:p>
            <w:pPr>
              <w:rPr>
                <w:rFonts w:cs="宋体" w:asciiTheme="minorEastAsia" w:hAnsiTheme="minorEastAsia"/>
                <w:bCs/>
                <w:color w:val="000000" w:themeColor="text1"/>
                <w:szCs w:val="18"/>
              </w:rPr>
            </w:pPr>
            <w:r>
              <w:rPr>
                <w:rFonts w:hint="eastAsia" w:ascii="宋体" w:hAnsi="宋体" w:cs="宋体"/>
                <w:bCs/>
                <w:color w:val="000000" w:themeColor="text1"/>
                <w:szCs w:val="21"/>
              </w:rPr>
              <w:t>★</w:t>
            </w:r>
            <w:r>
              <w:rPr>
                <w:rFonts w:hint="eastAsia" w:cs="宋体" w:asciiTheme="minorEastAsia" w:hAnsiTheme="minorEastAsia"/>
                <w:bCs/>
                <w:color w:val="000000" w:themeColor="text1"/>
                <w:szCs w:val="18"/>
              </w:rPr>
              <w:t>系统支持IPv6网络环境。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129" w:type="dxa"/>
            <w:vAlign w:val="center"/>
          </w:tcPr>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产品专业度</w:t>
            </w:r>
          </w:p>
        </w:tc>
        <w:tc>
          <w:tcPr>
            <w:tcW w:w="7371" w:type="dxa"/>
            <w:vAlign w:val="center"/>
          </w:tcPr>
          <w:p>
            <w:pPr>
              <w:rPr>
                <w:rFonts w:cs="宋体" w:asciiTheme="minorEastAsia" w:hAnsiTheme="minorEastAsia"/>
                <w:bCs/>
                <w:color w:val="000000" w:themeColor="text1"/>
                <w:szCs w:val="18"/>
              </w:rPr>
            </w:pPr>
            <w:r>
              <w:rPr>
                <w:rFonts w:cs="宋体" w:asciiTheme="minorEastAsia" w:hAnsiTheme="minorEastAsia"/>
                <w:bCs/>
                <w:color w:val="000000" w:themeColor="text1"/>
                <w:szCs w:val="18"/>
              </w:rPr>
              <w:t>具备至少三项产品相关专利，提供专利证书复印件并加盖厂商公章。</w:t>
            </w:r>
          </w:p>
        </w:tc>
      </w:tr>
    </w:tbl>
    <w:p>
      <w:pPr>
        <w:spacing w:line="360" w:lineRule="auto"/>
        <w:ind w:firstLine="551" w:firstLineChars="196"/>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设备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（2）保修期：免费质保期5年，自验收合格之日起算，并提供相关承诺书。质保期内发生任何设备损坏，所需要的维修费用（包括零部件费用、维修费用）均由卖方承担（人为操作不当造成的损坏除外）。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24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合同签订生效后，一周内全部设备、材料运抵现场，并安装、调试结束，验收合格，交付买方使用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ind w:firstLine="560" w:firstLineChars="200"/>
        <w:rPr>
          <w:rFonts w:asciiTheme="minorEastAsia" w:hAnsiTheme="minorEastAsia" w:eastAsiaTheme="minorEastAsia" w:cstheme="minorEastAsia"/>
          <w:sz w:val="28"/>
          <w:szCs w:val="28"/>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3"/>
        <w:gridCol w:w="5611"/>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3"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1"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802"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3"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分。其他投标人的价格分统一按照以下公式计算：投标人评标价得分=（A／该投标人评标价）×</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3"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w:t>
            </w:r>
            <w:r>
              <w:rPr>
                <w:rFonts w:hint="eastAsia" w:cs="Arial" w:asciiTheme="minorEastAsia" w:hAnsiTheme="minorEastAsia" w:eastAsiaTheme="minorEastAsia"/>
                <w:bCs/>
                <w:sz w:val="24"/>
                <w:szCs w:val="24"/>
              </w:rPr>
              <w:t>方案</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35</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根据各投标产品的先进性、匹配性、可靠性、稳定性以及质量、性能酌情打分，较好4-5分，一般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分，其他0-1分。</w:t>
            </w:r>
          </w:p>
        </w:tc>
        <w:tc>
          <w:tcPr>
            <w:tcW w:w="802"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3" w:type="dxa"/>
            <w:vMerge w:val="continue"/>
            <w:vAlign w:val="center"/>
          </w:tcPr>
          <w:p>
            <w:pPr>
              <w:spacing w:line="360" w:lineRule="auto"/>
              <w:rPr>
                <w:rFonts w:cs="Arial" w:asciiTheme="minorEastAsia" w:hAnsiTheme="minorEastAsia" w:eastAsiaTheme="minorEastAsia"/>
                <w:bCs/>
                <w:sz w:val="24"/>
                <w:szCs w:val="24"/>
              </w:rPr>
            </w:pPr>
          </w:p>
        </w:tc>
        <w:tc>
          <w:tcPr>
            <w:tcW w:w="5611"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满足招标文件技术指标、参数要求的得24分（" ★"项的为主要指标，不满足的每项减3分；其他每一项偏离减1分。</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每有一项优于招标文件，经评委会认可的加1分，最多加6分。） </w:t>
            </w:r>
          </w:p>
        </w:tc>
        <w:tc>
          <w:tcPr>
            <w:tcW w:w="802"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3"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asciiTheme="minorEastAsia" w:hAnsiTheme="minorEastAsia" w:eastAsiaTheme="minorEastAsia" w:cstheme="minorEastAsia"/>
                <w:bCs/>
                <w:sz w:val="23"/>
                <w:szCs w:val="23"/>
              </w:rPr>
              <w:t>方案完整、合理可行的得10-13分；方案较完整、较合理可行的得6-9分；方案不完整、不合理不可行的得0-5分</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3" w:type="dxa"/>
            <w:vMerge w:val="continue"/>
            <w:vAlign w:val="center"/>
          </w:tcPr>
          <w:p>
            <w:pPr>
              <w:spacing w:line="360" w:lineRule="auto"/>
              <w:rPr>
                <w:rFonts w:cs="Arial" w:asciiTheme="minorEastAsia" w:hAnsiTheme="minorEastAsia" w:eastAsiaTheme="minorEastAsia"/>
                <w:bCs/>
                <w:sz w:val="24"/>
                <w:szCs w:val="24"/>
              </w:rPr>
            </w:pPr>
          </w:p>
        </w:tc>
        <w:tc>
          <w:tcPr>
            <w:tcW w:w="561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3"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投标产品2017年01月01日以来的类似项目业绩，每提供一个得1分，最高得3分。 （请提供有效的加盖公章的合同复印件）</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83"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83"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83" w:type="dxa"/>
            <w:vMerge w:val="restart"/>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w:t>
            </w:r>
            <w:r>
              <w:rPr>
                <w:rFonts w:cs="Arial" w:asciiTheme="minorEastAsia" w:hAnsiTheme="minorEastAsia" w:eastAsiaTheme="minorEastAsia"/>
                <w:bCs/>
                <w:sz w:val="24"/>
                <w:szCs w:val="24"/>
              </w:rPr>
              <w:t>及厂商</w:t>
            </w:r>
            <w:r>
              <w:rPr>
                <w:rFonts w:hint="eastAsia" w:cs="Arial" w:asciiTheme="minorEastAsia" w:hAnsiTheme="minorEastAsia" w:eastAsiaTheme="minorEastAsia"/>
                <w:bCs/>
                <w:sz w:val="24"/>
                <w:szCs w:val="24"/>
              </w:rPr>
              <w:t>资质</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1"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产品具有公安部《计算机信息系统专用产品销售许可证》,（行标-三级）</w:t>
            </w:r>
          </w:p>
          <w:p>
            <w:pPr>
              <w:spacing w:line="360" w:lineRule="auto"/>
              <w:rPr>
                <w:rFonts w:hint="eastAsia"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产品具有国家保密局《涉密信息系统产品检测证书》</w:t>
            </w:r>
          </w:p>
          <w:p>
            <w:pPr>
              <w:spacing w:line="360" w:lineRule="auto"/>
              <w:rPr>
                <w:rFonts w:hint="eastAsia"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投标厂商具备涉及国家秘密的计算机信息系统集成资质（甲级）</w:t>
            </w:r>
          </w:p>
          <w:p>
            <w:pPr>
              <w:spacing w:line="360" w:lineRule="auto"/>
              <w:rPr>
                <w:rFonts w:hint="eastAsia" w:cs="Arial" w:asciiTheme="minorEastAsia" w:hAnsiTheme="minorEastAsia" w:eastAsiaTheme="minorEastAsia"/>
                <w:bCs/>
                <w:sz w:val="24"/>
                <w:szCs w:val="24"/>
                <w:lang w:val="en-US" w:eastAsia="zh-CN"/>
              </w:rPr>
            </w:pPr>
            <w:r>
              <w:rPr>
                <w:rFonts w:hint="eastAsia" w:cs="Arial" w:asciiTheme="minorEastAsia" w:hAnsiTheme="minorEastAsia" w:eastAsiaTheme="minorEastAsia"/>
                <w:bCs/>
                <w:sz w:val="24"/>
                <w:szCs w:val="24"/>
                <w:lang w:eastAsia="zh-CN"/>
              </w:rPr>
              <w:t>同时提供以上材料的得</w:t>
            </w:r>
            <w:r>
              <w:rPr>
                <w:rFonts w:hint="eastAsia" w:cs="Arial" w:asciiTheme="minorEastAsia" w:hAnsiTheme="minorEastAsia" w:eastAsiaTheme="minorEastAsia"/>
                <w:bCs/>
                <w:sz w:val="24"/>
                <w:szCs w:val="24"/>
                <w:lang w:val="en-US" w:eastAsia="zh-CN"/>
              </w:rPr>
              <w:t>1分，缺一个不得分；</w:t>
            </w:r>
            <w:r>
              <w:rPr>
                <w:rFonts w:hint="eastAsia" w:cs="Arial" w:asciiTheme="minorEastAsia" w:hAnsiTheme="minorEastAsia" w:eastAsiaTheme="minorEastAsia"/>
                <w:bCs/>
                <w:sz w:val="24"/>
                <w:szCs w:val="24"/>
                <w:lang w:eastAsia="zh-CN"/>
              </w:rPr>
              <w:t>提供复印件（加盖公章），原件备查</w:t>
            </w:r>
          </w:p>
        </w:tc>
        <w:tc>
          <w:tcPr>
            <w:tcW w:w="802"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5" w:hRule="atLeast"/>
        </w:trPr>
        <w:tc>
          <w:tcPr>
            <w:tcW w:w="534" w:type="dxa"/>
            <w:vMerge w:val="continue"/>
            <w:vAlign w:val="center"/>
          </w:tcPr>
          <w:p>
            <w:pPr>
              <w:spacing w:line="360" w:lineRule="auto"/>
              <w:jc w:val="center"/>
              <w:rPr>
                <w:rFonts w:hint="eastAsia" w:cs="Arial" w:asciiTheme="minorEastAsia" w:hAnsiTheme="minorEastAsia" w:eastAsiaTheme="minorEastAsia"/>
                <w:bCs/>
                <w:sz w:val="24"/>
                <w:szCs w:val="24"/>
              </w:rPr>
            </w:pPr>
          </w:p>
        </w:tc>
        <w:tc>
          <w:tcPr>
            <w:tcW w:w="1983" w:type="dxa"/>
            <w:vMerge w:val="continue"/>
            <w:vAlign w:val="center"/>
          </w:tcPr>
          <w:p>
            <w:pPr>
              <w:spacing w:line="360" w:lineRule="auto"/>
              <w:rPr>
                <w:rFonts w:hint="eastAsia" w:cs="Arial" w:asciiTheme="minorEastAsia" w:hAnsiTheme="minorEastAsia" w:eastAsiaTheme="minorEastAsia"/>
                <w:bCs/>
                <w:sz w:val="24"/>
                <w:szCs w:val="24"/>
              </w:rPr>
            </w:pPr>
          </w:p>
        </w:tc>
        <w:tc>
          <w:tcPr>
            <w:tcW w:w="5611"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投标厂商具备《</w:t>
            </w:r>
            <w:r>
              <w:rPr>
                <w:rFonts w:hint="eastAsia" w:cs="Arial" w:asciiTheme="minorEastAsia" w:hAnsiTheme="minorEastAsia" w:eastAsiaTheme="minorEastAsia"/>
                <w:bCs/>
                <w:sz w:val="24"/>
                <w:szCs w:val="24"/>
              </w:rPr>
              <w:t>ISO20000:2011信息技术服务管理体系</w:t>
            </w:r>
            <w:r>
              <w:rPr>
                <w:rFonts w:cs="Arial" w:asciiTheme="minorEastAsia" w:hAnsiTheme="minorEastAsia" w:eastAsiaTheme="minorEastAsia"/>
                <w:bCs/>
                <w:sz w:val="24"/>
                <w:szCs w:val="24"/>
              </w:rPr>
              <w:t>认证》证书</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投标厂商具备《通信网络安全服务能力评定证书》（安全设计与集成，二级及以上</w:t>
            </w:r>
            <w:r>
              <w:rPr>
                <w:rFonts w:cs="Arial" w:asciiTheme="minorEastAsia" w:hAnsiTheme="minorEastAsia" w:eastAsiaTheme="minorEastAsia"/>
                <w:bCs/>
                <w:sz w:val="24"/>
                <w:szCs w:val="24"/>
              </w:rPr>
              <w:t>）</w:t>
            </w:r>
          </w:p>
          <w:p>
            <w:pPr>
              <w:spacing w:line="360" w:lineRule="auto"/>
              <w:rPr>
                <w:rFonts w:hint="eastAsia"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产品具有中国信息安全认证中心《中国国家安全产品认证证书》（3C），增强级</w:t>
            </w:r>
          </w:p>
          <w:p>
            <w:pPr>
              <w:spacing w:line="360" w:lineRule="auto"/>
              <w:rPr>
                <w:rFonts w:hint="eastAsia" w:cs="Arial" w:asciiTheme="minorEastAsia" w:hAnsiTheme="minorEastAsia" w:eastAsiaTheme="minorEastAsia"/>
                <w:bCs/>
                <w:sz w:val="24"/>
                <w:szCs w:val="24"/>
              </w:rPr>
            </w:pPr>
            <w:r>
              <w:rPr>
                <w:rFonts w:hint="eastAsia" w:cs="Arial" w:asciiTheme="minorEastAsia" w:hAnsiTheme="minorEastAsia" w:eastAsiaTheme="minorEastAsia"/>
                <w:bCs/>
                <w:sz w:val="24"/>
                <w:szCs w:val="24"/>
                <w:lang w:eastAsia="zh-CN"/>
              </w:rPr>
              <w:t>同时提供以上材料的得</w:t>
            </w:r>
            <w:r>
              <w:rPr>
                <w:rFonts w:hint="eastAsia" w:cs="Arial" w:asciiTheme="minorEastAsia" w:hAnsiTheme="minorEastAsia" w:eastAsiaTheme="minorEastAsia"/>
                <w:bCs/>
                <w:sz w:val="24"/>
                <w:szCs w:val="24"/>
                <w:lang w:val="en-US" w:eastAsia="zh-CN"/>
              </w:rPr>
              <w:t>1分，缺一个不得分；</w:t>
            </w:r>
            <w:r>
              <w:rPr>
                <w:rFonts w:hint="eastAsia" w:cs="Arial" w:asciiTheme="minorEastAsia" w:hAnsiTheme="minorEastAsia" w:eastAsiaTheme="minorEastAsia"/>
                <w:bCs/>
                <w:sz w:val="24"/>
                <w:szCs w:val="24"/>
                <w:lang w:eastAsia="zh-CN"/>
              </w:rPr>
              <w:t>提供复印件（加盖公章），原件备查</w:t>
            </w:r>
          </w:p>
        </w:tc>
        <w:tc>
          <w:tcPr>
            <w:tcW w:w="802" w:type="dxa"/>
            <w:vAlign w:val="center"/>
          </w:tcPr>
          <w:p>
            <w:pPr>
              <w:spacing w:line="360" w:lineRule="auto"/>
              <w:jc w:val="center"/>
              <w:rPr>
                <w:rFonts w:cs="Arial" w:asciiTheme="minorEastAsia" w:hAnsiTheme="minorEastAsia" w:eastAsiaTheme="minorEastAsia"/>
                <w:bCs/>
                <w:sz w:val="28"/>
                <w:szCs w:val="24"/>
              </w:rPr>
            </w:pPr>
            <w:r>
              <w:rPr>
                <w:rFonts w:hint="eastAsia" w:cs="Arial" w:asciiTheme="minorEastAsia" w:hAnsiTheme="minorEastAsia" w:eastAsiaTheme="minorEastAsia"/>
                <w:bCs/>
                <w:sz w:val="28"/>
                <w:szCs w:val="24"/>
              </w:rPr>
              <w:t>1</w:t>
            </w:r>
          </w:p>
        </w:tc>
      </w:tr>
    </w:tbl>
    <w:p>
      <w:pPr>
        <w:spacing w:line="360" w:lineRule="auto"/>
        <w:rPr>
          <w:rFonts w:asciiTheme="minorEastAsia" w:hAnsiTheme="minorEastAsia" w:eastAsiaTheme="minorEastAsia"/>
          <w:bCs/>
          <w:sz w:val="28"/>
          <w:szCs w:val="28"/>
        </w:rPr>
      </w:pPr>
    </w:p>
    <w:bookmarkEnd w:id="166"/>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4"/>
        </w:rPr>
        <w:t>2.1结算方式：</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40" w:lineRule="exact"/>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4A56"/>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E51BC"/>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C69A2"/>
    <w:rsid w:val="004E0EEC"/>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FB1"/>
    <w:rsid w:val="007E0F09"/>
    <w:rsid w:val="007E2F52"/>
    <w:rsid w:val="007E466E"/>
    <w:rsid w:val="007E5BA3"/>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6763"/>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0B43"/>
    <w:rsid w:val="00953B62"/>
    <w:rsid w:val="00953E8C"/>
    <w:rsid w:val="00954E6B"/>
    <w:rsid w:val="009569A2"/>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26271"/>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7"/>
    <w:semiHidden/>
    <w:unhideWhenUsed/>
    <w:qFormat/>
    <w:uiPriority w:val="99"/>
    <w:rPr>
      <w:b/>
      <w:bCs/>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页眉 Char"/>
    <w:basedOn w:val="17"/>
    <w:link w:val="13"/>
    <w:qFormat/>
    <w:uiPriority w:val="99"/>
    <w:rPr>
      <w:rFonts w:ascii="Tahoma" w:hAnsi="Tahoma"/>
      <w:sz w:val="18"/>
      <w:szCs w:val="18"/>
    </w:rPr>
  </w:style>
  <w:style w:type="character" w:customStyle="1" w:styleId="24">
    <w:name w:val="页脚 Char"/>
    <w:basedOn w:val="17"/>
    <w:link w:val="12"/>
    <w:qFormat/>
    <w:uiPriority w:val="99"/>
    <w:rPr>
      <w:rFonts w:ascii="Tahoma" w:hAnsi="Tahoma"/>
      <w:sz w:val="18"/>
      <w:szCs w:val="18"/>
    </w:rPr>
  </w:style>
  <w:style w:type="character" w:customStyle="1" w:styleId="25">
    <w:name w:val="标题 1 Char"/>
    <w:basedOn w:val="17"/>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7"/>
    <w:link w:val="4"/>
    <w:qFormat/>
    <w:uiPriority w:val="0"/>
    <w:rPr>
      <w:rFonts w:ascii="Times New Roman" w:hAnsi="Times New Roman" w:eastAsia="宋体" w:cs="Times New Roman"/>
      <w:b/>
      <w:bCs/>
      <w:kern w:val="2"/>
      <w:sz w:val="32"/>
      <w:szCs w:val="32"/>
    </w:rPr>
  </w:style>
  <w:style w:type="character" w:customStyle="1" w:styleId="29">
    <w:name w:val="标题 4 Char"/>
    <w:basedOn w:val="17"/>
    <w:link w:val="6"/>
    <w:qFormat/>
    <w:uiPriority w:val="9"/>
    <w:rPr>
      <w:rFonts w:ascii="Arial" w:hAnsi="Arial" w:eastAsia="黑体" w:cs="Arial"/>
      <w:b/>
      <w:bCs/>
      <w:kern w:val="2"/>
      <w:sz w:val="28"/>
      <w:szCs w:val="28"/>
    </w:rPr>
  </w:style>
  <w:style w:type="character" w:customStyle="1" w:styleId="30">
    <w:name w:val="标题 Char1"/>
    <w:basedOn w:val="17"/>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7"/>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7"/>
    <w:semiHidden/>
    <w:qFormat/>
    <w:uiPriority w:val="99"/>
    <w:rPr>
      <w:rFonts w:ascii="宋体" w:hAnsi="Courier New" w:eastAsia="宋体" w:cs="Courier New"/>
      <w:sz w:val="21"/>
      <w:szCs w:val="21"/>
    </w:rPr>
  </w:style>
  <w:style w:type="character" w:customStyle="1" w:styleId="39">
    <w:name w:val="标题 2 Char"/>
    <w:basedOn w:val="17"/>
    <w:link w:val="3"/>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7"/>
    <w:semiHidden/>
    <w:qFormat/>
    <w:uiPriority w:val="99"/>
    <w:rPr>
      <w:rFonts w:ascii="Tahoma" w:hAnsi="Tahoma"/>
    </w:rPr>
  </w:style>
  <w:style w:type="character" w:customStyle="1" w:styleId="45">
    <w:name w:val="批注框文本 Char"/>
    <w:basedOn w:val="17"/>
    <w:link w:val="11"/>
    <w:semiHidden/>
    <w:qFormat/>
    <w:uiPriority w:val="99"/>
    <w:rPr>
      <w:rFonts w:ascii="Tahoma" w:hAnsi="Tahoma"/>
      <w:sz w:val="18"/>
      <w:szCs w:val="18"/>
    </w:rPr>
  </w:style>
  <w:style w:type="character" w:customStyle="1" w:styleId="46">
    <w:name w:val="批注文字 Char"/>
    <w:basedOn w:val="17"/>
    <w:link w:val="8"/>
    <w:semiHidden/>
    <w:qFormat/>
    <w:uiPriority w:val="99"/>
    <w:rPr>
      <w:rFonts w:ascii="Tahoma" w:hAnsi="Tahoma"/>
    </w:rPr>
  </w:style>
  <w:style w:type="character" w:customStyle="1" w:styleId="47">
    <w:name w:val="批注主题 Char"/>
    <w:basedOn w:val="46"/>
    <w:link w:val="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0A94A0-90FC-4AF8-B2B8-C749BA4A6D8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2716</Words>
  <Characters>15485</Characters>
  <Lines>129</Lines>
  <Paragraphs>36</Paragraphs>
  <TotalTime>0</TotalTime>
  <ScaleCrop>false</ScaleCrop>
  <LinksUpToDate>false</LinksUpToDate>
  <CharactersWithSpaces>18165</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2018-12-24T03:39:00Z</dcterms:created>
  <dc:creator>chenle</dc:creator>
  <cp:lastModifiedBy>lenovo</cp:lastModifiedBy>
  <dcterms:modified xsi:type="dcterms:W3CDTF">2018-12-25T03:37:21Z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