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exact"/>
        <w:rPr>
          <w:rFonts w:hint="eastAsia" w:ascii="微软雅黑" w:hAnsi="微软雅黑" w:eastAsia="微软雅黑" w:cs="微软雅黑"/>
          <w:sz w:val="24"/>
          <w:szCs w:val="24"/>
          <w:lang w:eastAsia="zh-CN"/>
        </w:rPr>
      </w:pPr>
      <w:bookmarkStart w:id="0" w:name="_Toc11070"/>
      <w:r>
        <w:rPr>
          <w:rFonts w:hint="eastAsia" w:ascii="微软雅黑" w:hAnsi="微软雅黑" w:eastAsia="微软雅黑" w:cs="微软雅黑"/>
          <w:sz w:val="24"/>
          <w:szCs w:val="24"/>
          <w:lang w:eastAsia="zh-CN"/>
        </w:rPr>
        <w:t>南京医科大学实时荧光定量PCR仪采购项目公开招标公告</w:t>
      </w:r>
      <w:bookmarkEnd w:id="0"/>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南京医科大学实时荧光定量PCR仪采购</w:t>
      </w:r>
      <w:r>
        <w:rPr>
          <w:rFonts w:hint="eastAsia" w:ascii="微软雅黑" w:hAnsi="微软雅黑" w:eastAsia="微软雅黑" w:cs="微软雅黑"/>
          <w:sz w:val="21"/>
          <w:szCs w:val="21"/>
        </w:rPr>
        <w:t>招标项目的潜在投标人应在（南京市建邺区嘉陵江东街8号综合体B3栋一单元16层）获取采购文件，并于</w:t>
      </w:r>
      <w:r>
        <w:rPr>
          <w:rFonts w:hint="eastAsia" w:ascii="微软雅黑" w:hAnsi="微软雅黑" w:eastAsia="微软雅黑" w:cs="微软雅黑"/>
          <w:sz w:val="21"/>
          <w:szCs w:val="21"/>
          <w:lang w:eastAsia="zh-CN"/>
        </w:rPr>
        <w:t>2022年08月12日14</w:t>
      </w:r>
      <w:r>
        <w:rPr>
          <w:rFonts w:hint="eastAsia" w:ascii="微软雅黑" w:hAnsi="微软雅黑" w:eastAsia="微软雅黑" w:cs="微软雅黑"/>
          <w:sz w:val="21"/>
          <w:szCs w:val="21"/>
        </w:rPr>
        <w:t>点30分（北京时间）前递交投标文件。</w:t>
      </w:r>
      <w:bookmarkStart w:id="43" w:name="_GoBack"/>
      <w:bookmarkEnd w:id="43"/>
    </w:p>
    <w:p>
      <w:pPr>
        <w:pStyle w:val="6"/>
        <w:spacing w:before="0" w:after="0"/>
        <w:jc w:val="left"/>
        <w:rPr>
          <w:sz w:val="21"/>
          <w:szCs w:val="21"/>
        </w:rPr>
      </w:pPr>
      <w:bookmarkStart w:id="1" w:name="_Toc28359079"/>
      <w:bookmarkStart w:id="2" w:name="_Toc28359002"/>
      <w:bookmarkStart w:id="3" w:name="_Toc35393790"/>
      <w:bookmarkStart w:id="4" w:name="_Toc35393621"/>
      <w:bookmarkStart w:id="5" w:name="_Toc10847"/>
      <w:bookmarkStart w:id="6" w:name="_Hlk24379207"/>
      <w:r>
        <w:rPr>
          <w:rFonts w:hint="eastAsia"/>
          <w:sz w:val="21"/>
          <w:szCs w:val="21"/>
        </w:rPr>
        <w:t>一、项目基本情况</w:t>
      </w:r>
      <w:bookmarkEnd w:id="1"/>
      <w:bookmarkEnd w:id="2"/>
      <w:bookmarkEnd w:id="3"/>
      <w:bookmarkEnd w:id="4"/>
      <w:bookmarkEnd w:id="5"/>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项目编号：JSHC-</w:t>
      </w:r>
      <w:r>
        <w:rPr>
          <w:rFonts w:hint="eastAsia" w:ascii="微软雅黑" w:hAnsi="微软雅黑" w:eastAsia="微软雅黑" w:cs="微软雅黑"/>
          <w:sz w:val="21"/>
          <w:szCs w:val="21"/>
          <w:lang w:eastAsia="zh-CN"/>
        </w:rPr>
        <w:t>2022070455B2</w:t>
      </w:r>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eastAsia="zh-CN"/>
        </w:rPr>
        <w:t>南京医科大学实时荧光定量PCR仪采购</w:t>
      </w:r>
    </w:p>
    <w:bookmarkEnd w:id="6"/>
    <w:p>
      <w:pPr>
        <w:pStyle w:val="17"/>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rPr>
        <w:t>预算金额：</w:t>
      </w:r>
      <w:r>
        <w:rPr>
          <w:rFonts w:hint="eastAsia" w:ascii="微软雅黑" w:hAnsi="微软雅黑" w:eastAsia="微软雅黑" w:cs="微软雅黑"/>
          <w:sz w:val="21"/>
          <w:szCs w:val="21"/>
          <w:lang w:eastAsia="zh-CN"/>
        </w:rPr>
        <w:t>人民币肆拾万圆</w:t>
      </w:r>
      <w:r>
        <w:rPr>
          <w:rFonts w:hint="eastAsia" w:ascii="微软雅黑" w:hAnsi="微软雅黑" w:eastAsia="微软雅黑" w:cs="微软雅黑"/>
          <w:sz w:val="21"/>
          <w:szCs w:val="21"/>
          <w:highlight w:val="none"/>
          <w:lang w:eastAsia="zh-CN"/>
        </w:rPr>
        <w:t>整（￥40万元整）</w:t>
      </w:r>
    </w:p>
    <w:p>
      <w:pPr>
        <w:pStyle w:val="17"/>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最高限价：</w:t>
      </w:r>
      <w:r>
        <w:rPr>
          <w:rFonts w:hint="eastAsia" w:ascii="微软雅黑" w:hAnsi="微软雅黑" w:eastAsia="微软雅黑" w:cs="微软雅黑"/>
          <w:sz w:val="21"/>
          <w:szCs w:val="21"/>
          <w:highlight w:val="none"/>
          <w:lang w:eastAsia="zh-CN"/>
        </w:rPr>
        <w:t>人民币肆拾万圆整（￥40万元整）</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采购需求：</w:t>
      </w:r>
      <w:r>
        <w:rPr>
          <w:rFonts w:hint="eastAsia" w:ascii="微软雅黑" w:hAnsi="微软雅黑" w:eastAsia="微软雅黑" w:cs="微软雅黑"/>
          <w:sz w:val="21"/>
          <w:szCs w:val="21"/>
          <w:highlight w:val="none"/>
          <w:lang w:eastAsia="zh-CN"/>
        </w:rPr>
        <w:t>实时荧光定量PCR仪一套</w:t>
      </w:r>
      <w:r>
        <w:rPr>
          <w:rFonts w:hint="eastAsia" w:ascii="微软雅黑" w:hAnsi="微软雅黑" w:eastAsia="微软雅黑" w:cs="微软雅黑"/>
          <w:sz w:val="21"/>
          <w:szCs w:val="21"/>
          <w:highlight w:val="none"/>
        </w:rPr>
        <w:t>。</w:t>
      </w:r>
    </w:p>
    <w:p>
      <w:pPr>
        <w:pStyle w:val="17"/>
        <w:spacing w:before="0" w:beforeAutospacing="0" w:after="0" w:afterAutospacing="0" w:line="400" w:lineRule="exact"/>
        <w:ind w:firstLine="480"/>
        <w:rPr>
          <w:rFonts w:ascii="微软雅黑" w:hAnsi="微软雅黑" w:eastAsia="微软雅黑" w:cs="微软雅黑"/>
          <w:sz w:val="21"/>
          <w:szCs w:val="21"/>
        </w:rPr>
      </w:pPr>
      <w:bookmarkStart w:id="7" w:name="_Toc28359003"/>
      <w:bookmarkStart w:id="8" w:name="_Toc28359080"/>
      <w:bookmarkStart w:id="9" w:name="_Toc35393791"/>
      <w:bookmarkStart w:id="10" w:name="_Toc35393622"/>
      <w:r>
        <w:rPr>
          <w:rFonts w:hint="eastAsia" w:ascii="微软雅黑" w:hAnsi="微软雅黑" w:eastAsia="微软雅黑" w:cs="微软雅黑"/>
          <w:sz w:val="21"/>
          <w:szCs w:val="21"/>
        </w:rPr>
        <w:t>合同履行期限：详见采购文件。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6"/>
        <w:spacing w:before="0" w:after="0"/>
        <w:jc w:val="left"/>
        <w:rPr>
          <w:sz w:val="21"/>
          <w:szCs w:val="21"/>
        </w:rPr>
      </w:pPr>
      <w:bookmarkStart w:id="11" w:name="_Toc6843"/>
      <w:r>
        <w:rPr>
          <w:rFonts w:hint="eastAsia"/>
          <w:sz w:val="21"/>
          <w:szCs w:val="21"/>
        </w:rPr>
        <w:t>二、申请人的资格要求：</w:t>
      </w:r>
      <w:bookmarkEnd w:id="7"/>
      <w:bookmarkEnd w:id="8"/>
      <w:bookmarkEnd w:id="9"/>
      <w:bookmarkEnd w:id="10"/>
      <w:bookmarkEnd w:id="11"/>
    </w:p>
    <w:p>
      <w:pPr>
        <w:pStyle w:val="17"/>
        <w:spacing w:before="0" w:beforeAutospacing="0" w:after="0" w:afterAutospacing="0" w:line="400" w:lineRule="exact"/>
        <w:ind w:firstLine="480"/>
        <w:rPr>
          <w:rFonts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7月至投标截止任一月份的资产负债表和利润表，或2021年度审计报告，或银行出具的资信证明，或财政部门认可的专业担保机构出具的投标担保函；（法人或者其他组织成立未满一年的可以不提供）</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文件证明）；</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1.5参加本次采购活动2019年7月1日至投标截止，在经营活动中没有重大违法记录（提供参加本次采购活动前3年内在经营活动中没有重大违法记录的书面声明）；</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w:t>
      </w:r>
      <w:r>
        <w:rPr>
          <w:rFonts w:hint="eastAsia" w:ascii="微软雅黑" w:hAnsi="微软雅黑" w:eastAsia="微软雅黑" w:cs="微软雅黑"/>
          <w:sz w:val="21"/>
          <w:szCs w:val="21"/>
          <w:highlight w:val="none"/>
        </w:rPr>
        <w:t>表人直接参与投标的可以不提供授权书）。</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1.7本项目接受进口产品投标（注：本文件所称进口产品是指通过中国海关报关验放进入中国境内且产自关境外的产品）；</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3.本项目的特定资格要求：代理商投标进口设备的，需提供原厂授权证明文件，并明确承担一切售前、售后责任。</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6"/>
        <w:spacing w:before="0" w:after="0"/>
        <w:jc w:val="left"/>
        <w:rPr>
          <w:sz w:val="21"/>
          <w:szCs w:val="21"/>
        </w:rPr>
      </w:pPr>
      <w:bookmarkStart w:id="14" w:name="_Toc35393623"/>
      <w:bookmarkStart w:id="15" w:name="_Toc35393792"/>
      <w:bookmarkStart w:id="16" w:name="_Toc28184"/>
      <w:r>
        <w:rPr>
          <w:rFonts w:hint="eastAsia"/>
          <w:sz w:val="21"/>
          <w:szCs w:val="21"/>
        </w:rPr>
        <w:t>三、获取</w:t>
      </w:r>
      <w:bookmarkEnd w:id="12"/>
      <w:bookmarkEnd w:id="13"/>
      <w:bookmarkEnd w:id="14"/>
      <w:bookmarkEnd w:id="15"/>
      <w:r>
        <w:rPr>
          <w:rFonts w:hint="eastAsia"/>
          <w:sz w:val="21"/>
          <w:szCs w:val="21"/>
        </w:rPr>
        <w:t>采购文件</w:t>
      </w:r>
      <w:bookmarkEnd w:id="16"/>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日，每天上午09:00至11:30，下午13:30至17:00（北京时间，法定节假日除外）</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（转账时请务必备注公司名称+455B2</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fldChar w:fldCharType="begin"/>
      </w:r>
      <w:r>
        <w:instrText xml:space="preserve"> HYPERLINK "mailto:jshc9999@163.com" </w:instrText>
      </w:r>
      <w:r>
        <w:fldChar w:fldCharType="separate"/>
      </w:r>
      <w:r>
        <w:rPr>
          <w:rStyle w:val="20"/>
          <w:rFonts w:hint="eastAsia" w:ascii="微软雅黑" w:hAnsi="微软雅黑" w:eastAsia="微软雅黑" w:cs="微软雅黑"/>
          <w:sz w:val="21"/>
          <w:szCs w:val="21"/>
        </w:rPr>
        <w:t>jshc9999@163.com</w:t>
      </w:r>
      <w:r>
        <w:rPr>
          <w:rStyle w:val="20"/>
          <w:rFonts w:hint="eastAsia" w:ascii="微软雅黑" w:hAnsi="微软雅黑" w:eastAsia="微软雅黑" w:cs="微软雅黑"/>
          <w:sz w:val="21"/>
          <w:szCs w:val="21"/>
        </w:rPr>
        <w:fldChar w:fldCharType="end"/>
      </w:r>
    </w:p>
    <w:p>
      <w:pPr>
        <w:pStyle w:val="17"/>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85265" cy="2084705"/>
            <wp:effectExtent l="0" t="0" r="8255" b="317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cstate="print"/>
                    <a:srcRect t="5411" b="4422"/>
                    <a:stretch>
                      <a:fillRect/>
                    </a:stretch>
                  </pic:blipFill>
                  <pic:spPr>
                    <a:xfrm>
                      <a:off x="0" y="0"/>
                      <a:ext cx="1485265" cy="2084705"/>
                    </a:xfrm>
                    <a:prstGeom prst="rect">
                      <a:avLst/>
                    </a:prstGeom>
                    <a:noFill/>
                    <a:ln>
                      <a:noFill/>
                    </a:ln>
                  </pic:spPr>
                </pic:pic>
              </a:graphicData>
            </a:graphic>
          </wp:inline>
        </w:drawing>
      </w:r>
    </w:p>
    <w:p>
      <w:pPr>
        <w:pStyle w:val="6"/>
        <w:spacing w:before="0" w:after="0"/>
        <w:jc w:val="left"/>
        <w:rPr>
          <w:sz w:val="21"/>
          <w:szCs w:val="21"/>
        </w:rPr>
      </w:pPr>
      <w:bookmarkStart w:id="17" w:name="_Toc28359005"/>
      <w:bookmarkStart w:id="18" w:name="_Toc28359082"/>
      <w:bookmarkStart w:id="19" w:name="_Toc17512"/>
      <w:bookmarkStart w:id="20" w:name="_Toc35393793"/>
      <w:bookmarkStart w:id="21" w:name="_Toc35393624"/>
      <w:bookmarkStart w:id="22" w:name="_Toc32159"/>
      <w:r>
        <w:rPr>
          <w:rFonts w:hint="eastAsia"/>
          <w:sz w:val="21"/>
          <w:szCs w:val="21"/>
        </w:rPr>
        <w:t>四、提交投标文件</w:t>
      </w:r>
      <w:bookmarkEnd w:id="17"/>
      <w:bookmarkEnd w:id="18"/>
      <w:r>
        <w:rPr>
          <w:rFonts w:hint="eastAsia"/>
          <w:sz w:val="21"/>
          <w:szCs w:val="21"/>
        </w:rPr>
        <w:t>截止时间、开标时间和地点</w:t>
      </w:r>
      <w:bookmarkEnd w:id="19"/>
      <w:bookmarkEnd w:id="20"/>
      <w:bookmarkEnd w:id="21"/>
      <w:bookmarkEnd w:id="22"/>
    </w:p>
    <w:p>
      <w:pPr>
        <w:pStyle w:val="17"/>
        <w:spacing w:before="0" w:beforeAutospacing="0" w:after="0" w:afterAutospacing="0" w:line="400" w:lineRule="exact"/>
        <w:ind w:firstLine="480"/>
        <w:rPr>
          <w:rFonts w:ascii="微软雅黑" w:hAnsi="微软雅黑" w:eastAsia="微软雅黑" w:cs="微软雅黑"/>
          <w:sz w:val="21"/>
          <w:szCs w:val="21"/>
        </w:rPr>
      </w:pPr>
      <w:bookmarkStart w:id="23" w:name="_Toc28359084"/>
      <w:bookmarkStart w:id="24" w:name="_Toc35393625"/>
      <w:bookmarkStart w:id="25" w:name="_Toc28359007"/>
      <w:bookmarkStart w:id="26" w:name="_Toc35393794"/>
      <w:r>
        <w:rPr>
          <w:rFonts w:hint="eastAsia" w:ascii="微软雅黑" w:hAnsi="微软雅黑" w:eastAsia="微软雅黑" w:cs="微软雅黑"/>
          <w:sz w:val="21"/>
          <w:szCs w:val="21"/>
          <w:lang w:eastAsia="zh-CN"/>
        </w:rPr>
        <w:t>2022年08月12日14</w:t>
      </w:r>
      <w:r>
        <w:rPr>
          <w:rFonts w:hint="eastAsia" w:ascii="微软雅黑" w:hAnsi="微软雅黑" w:eastAsia="微软雅黑" w:cs="微软雅黑"/>
          <w:sz w:val="21"/>
          <w:szCs w:val="21"/>
        </w:rPr>
        <w:t>点30分（北京时间）</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6"/>
        <w:spacing w:before="0" w:after="0"/>
        <w:jc w:val="left"/>
        <w:rPr>
          <w:sz w:val="21"/>
          <w:szCs w:val="21"/>
        </w:rPr>
      </w:pPr>
      <w:bookmarkStart w:id="27" w:name="_Toc16611"/>
      <w:bookmarkStart w:id="28" w:name="_Toc3428"/>
      <w:r>
        <w:rPr>
          <w:rFonts w:hint="eastAsia"/>
          <w:sz w:val="21"/>
          <w:szCs w:val="21"/>
        </w:rPr>
        <w:t>五、公告期限</w:t>
      </w:r>
      <w:bookmarkEnd w:id="23"/>
      <w:bookmarkEnd w:id="24"/>
      <w:bookmarkEnd w:id="25"/>
      <w:bookmarkEnd w:id="26"/>
      <w:bookmarkEnd w:id="27"/>
      <w:bookmarkEnd w:id="28"/>
    </w:p>
    <w:p>
      <w:pPr>
        <w:widowControl/>
        <w:spacing w:line="440" w:lineRule="exact"/>
        <w:ind w:firstLine="420" w:firstLineChars="200"/>
        <w:jc w:val="left"/>
        <w:rPr>
          <w:rFonts w:ascii="微软雅黑" w:hAnsi="微软雅黑" w:cs="微软雅黑"/>
          <w:kern w:val="0"/>
          <w:szCs w:val="21"/>
        </w:rPr>
      </w:pPr>
      <w:bookmarkStart w:id="29" w:name="_Toc35393626"/>
      <w:bookmarkStart w:id="30" w:name="_Toc35393795"/>
      <w:r>
        <w:rPr>
          <w:rFonts w:hint="eastAsia" w:ascii="微软雅黑" w:hAnsi="微软雅黑" w:cs="微软雅黑"/>
          <w:kern w:val="0"/>
          <w:szCs w:val="21"/>
        </w:rPr>
        <w:t>自本公告发布之日起5个工作日。</w:t>
      </w:r>
    </w:p>
    <w:p>
      <w:pPr>
        <w:pStyle w:val="6"/>
        <w:spacing w:before="0" w:after="0"/>
        <w:jc w:val="left"/>
        <w:rPr>
          <w:sz w:val="21"/>
          <w:szCs w:val="21"/>
        </w:rPr>
      </w:pPr>
      <w:bookmarkStart w:id="31" w:name="_Toc1230"/>
      <w:bookmarkStart w:id="32" w:name="_Toc20859"/>
      <w:r>
        <w:rPr>
          <w:rFonts w:hint="eastAsia"/>
          <w:sz w:val="21"/>
          <w:szCs w:val="21"/>
        </w:rPr>
        <w:t>六、其他补充事宜</w:t>
      </w:r>
      <w:bookmarkEnd w:id="29"/>
      <w:bookmarkEnd w:id="30"/>
      <w:bookmarkEnd w:id="31"/>
      <w:bookmarkEnd w:id="32"/>
    </w:p>
    <w:p>
      <w:pPr>
        <w:spacing w:line="440" w:lineRule="exact"/>
        <w:ind w:firstLine="420" w:firstLineChars="200"/>
        <w:rPr>
          <w:rFonts w:ascii="微软雅黑" w:hAnsi="微软雅黑" w:cs="微软雅黑"/>
          <w:szCs w:val="21"/>
        </w:rPr>
      </w:pPr>
      <w:r>
        <w:rPr>
          <w:rFonts w:hint="eastAsia" w:ascii="微软雅黑" w:hAnsi="微软雅黑" w:cs="微软雅黑"/>
          <w:szCs w:val="21"/>
        </w:rPr>
        <w:t>因疫情防控需要，各供应商可选择</w:t>
      </w:r>
      <w:r>
        <w:rPr>
          <w:rFonts w:hint="eastAsia" w:ascii="微软雅黑" w:hAnsi="微软雅黑" w:cs="微软雅黑"/>
          <w:b/>
          <w:bCs/>
          <w:szCs w:val="21"/>
        </w:rPr>
        <w:t>邮寄方式</w:t>
      </w:r>
      <w:r>
        <w:rPr>
          <w:rFonts w:hint="eastAsia" w:ascii="微软雅黑" w:hAnsi="微软雅黑" w:cs="微软雅黑"/>
          <w:szCs w:val="21"/>
        </w:rPr>
        <w:t>或</w:t>
      </w:r>
      <w:r>
        <w:rPr>
          <w:rFonts w:hint="eastAsia" w:ascii="微软雅黑" w:hAnsi="微软雅黑" w:cs="微软雅黑"/>
          <w:b/>
          <w:bCs/>
          <w:szCs w:val="21"/>
        </w:rPr>
        <w:t>现场送达</w:t>
      </w:r>
      <w:r>
        <w:rPr>
          <w:rFonts w:hint="eastAsia" w:ascii="微软雅黑" w:hAnsi="微软雅黑" w:cs="微软雅黑"/>
          <w:szCs w:val="21"/>
        </w:rPr>
        <w:t>递交投标文件，但必须在递交投标文件截止时间前，将投标文件密封好送达，逾期送达或未密封，将被拒收。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快递邮寄（顺丰或EMS）收件地址：江苏省南京市建邺区嘉陵江东街8号综合体B3栋一单元16层，邮编：210012，徐雪 &lt;收&gt; 联系方式：025-83603368。</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供应商应充分考虑投标文件邮寄在途时长，以及注重文件包装的严密性、防水性。供应商承诺：自行承担邮寄标书丢失、破损等风险,以及由此导致的流标、投标被否决的后果。</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开标过程中，受托人（被委托人）须备好身份证原件和授权书原件（以便核查），并保持手机通讯和网络畅通。</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受托人（被委托人）出示个人身份证原件和授权书原件，在开标前三十分钟通过进入腾讯会议软件，参与开标过程。</w:t>
      </w:r>
    </w:p>
    <w:p>
      <w:pPr>
        <w:widowControl/>
        <w:spacing w:line="440" w:lineRule="exact"/>
        <w:ind w:firstLine="420" w:firstLineChars="200"/>
        <w:jc w:val="left"/>
        <w:rPr>
          <w:rFonts w:ascii="微软雅黑" w:hAnsi="微软雅黑" w:cs="微软雅黑"/>
          <w:szCs w:val="21"/>
        </w:rPr>
      </w:pPr>
      <w:r>
        <w:rPr>
          <w:rFonts w:hint="eastAsia" w:ascii="微软雅黑" w:hAnsi="微软雅黑" w:cs="微软雅黑"/>
          <w:szCs w:val="21"/>
        </w:rPr>
        <w:t>开标</w:t>
      </w:r>
      <w:r>
        <w:rPr>
          <w:rFonts w:hint="eastAsia" w:ascii="微软雅黑" w:hAnsi="微软雅黑" w:cs="微软雅黑"/>
          <w:kern w:val="0"/>
          <w:szCs w:val="21"/>
        </w:rPr>
        <w:t>时间：</w:t>
      </w:r>
      <w:r>
        <w:rPr>
          <w:rFonts w:hint="eastAsia" w:ascii="微软雅黑" w:hAnsi="微软雅黑" w:cs="微软雅黑"/>
          <w:sz w:val="21"/>
          <w:szCs w:val="21"/>
          <w:lang w:eastAsia="zh-CN"/>
        </w:rPr>
        <w:t>2022年08月12日14</w:t>
      </w:r>
      <w:r>
        <w:rPr>
          <w:rFonts w:hint="eastAsia" w:ascii="微软雅黑" w:hAnsi="微软雅黑" w:cs="微软雅黑"/>
          <w:szCs w:val="21"/>
        </w:rPr>
        <w:t>点30分</w:t>
      </w:r>
    </w:p>
    <w:p>
      <w:pPr>
        <w:widowControl/>
        <w:spacing w:line="440" w:lineRule="exact"/>
        <w:ind w:firstLine="420" w:firstLineChars="200"/>
        <w:jc w:val="left"/>
        <w:rPr>
          <w:rFonts w:hint="default" w:ascii="微软雅黑" w:hAnsi="微软雅黑" w:eastAsia="微软雅黑" w:cs="微软雅黑"/>
          <w:kern w:val="0"/>
          <w:szCs w:val="21"/>
          <w:lang w:val="en-US" w:eastAsia="zh-CN"/>
        </w:rPr>
      </w:pPr>
      <w:r>
        <w:rPr>
          <w:rFonts w:hint="eastAsia" w:ascii="微软雅黑" w:hAnsi="微软雅黑" w:cs="微软雅黑"/>
          <w:kern w:val="0"/>
          <w:szCs w:val="21"/>
        </w:rPr>
        <w:t>会议 ID：</w:t>
      </w:r>
      <w:r>
        <w:rPr>
          <w:rFonts w:hint="eastAsia" w:ascii="微软雅黑" w:hAnsi="微软雅黑" w:cs="微软雅黑"/>
          <w:kern w:val="0"/>
          <w:szCs w:val="21"/>
          <w:lang w:val="en-US" w:eastAsia="zh-CN"/>
        </w:rPr>
        <w:t>486 325 553</w:t>
      </w:r>
    </w:p>
    <w:p>
      <w:pPr>
        <w:widowControl/>
        <w:spacing w:line="440" w:lineRule="exact"/>
        <w:ind w:firstLine="420" w:firstLineChars="200"/>
        <w:jc w:val="left"/>
        <w:rPr>
          <w:rFonts w:ascii="微软雅黑" w:hAnsi="微软雅黑" w:cs="微软雅黑"/>
          <w:kern w:val="0"/>
          <w:szCs w:val="21"/>
        </w:rPr>
      </w:pPr>
      <w:r>
        <w:rPr>
          <w:rFonts w:hint="eastAsia" w:ascii="微软雅黑" w:hAnsi="微软雅黑" w:cs="微软雅黑"/>
          <w:kern w:val="0"/>
          <w:szCs w:val="21"/>
        </w:rPr>
        <w:t>密码：070455</w:t>
      </w:r>
    </w:p>
    <w:p>
      <w:pPr>
        <w:pStyle w:val="6"/>
        <w:spacing w:before="0" w:after="0"/>
        <w:jc w:val="left"/>
        <w:rPr>
          <w:sz w:val="21"/>
          <w:szCs w:val="21"/>
        </w:rPr>
      </w:pPr>
      <w:bookmarkStart w:id="33" w:name="_Toc28359085"/>
      <w:bookmarkStart w:id="34" w:name="_Toc11300"/>
      <w:bookmarkStart w:id="35" w:name="_Toc28359008"/>
      <w:bookmarkStart w:id="36" w:name="_Toc35393627"/>
      <w:bookmarkStart w:id="37" w:name="_Toc35393796"/>
      <w:bookmarkStart w:id="38" w:name="_Toc24502"/>
      <w:r>
        <w:rPr>
          <w:rFonts w:hint="eastAsia"/>
          <w:sz w:val="21"/>
          <w:szCs w:val="21"/>
        </w:rPr>
        <w:t>七、对本次招标提出询问，请按以下方式联系</w:t>
      </w:r>
      <w:bookmarkEnd w:id="33"/>
      <w:bookmarkEnd w:id="34"/>
      <w:bookmarkEnd w:id="35"/>
      <w:bookmarkEnd w:id="36"/>
      <w:bookmarkEnd w:id="37"/>
      <w:bookmarkEnd w:id="38"/>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9" w:name="_Toc28359009"/>
      <w:bookmarkStart w:id="40" w:name="_Toc28359086"/>
      <w:r>
        <w:rPr>
          <w:rFonts w:hint="eastAsia" w:ascii="微软雅黑" w:hAnsi="微软雅黑" w:eastAsia="微软雅黑" w:cs="微软雅黑"/>
          <w:sz w:val="21"/>
          <w:szCs w:val="21"/>
        </w:rPr>
        <w:t>吕老师025-86868572</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9"/>
      <w:bookmarkEnd w:id="40"/>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10"/>
      <w:bookmarkStart w:id="42" w:name="_Toc28359087"/>
      <w:r>
        <w:rPr>
          <w:rFonts w:hint="eastAsia" w:ascii="微软雅黑" w:hAnsi="微软雅黑" w:eastAsia="微软雅黑" w:cs="微软雅黑"/>
          <w:sz w:val="21"/>
          <w:szCs w:val="21"/>
        </w:rPr>
        <w:t>025-83603368</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1"/>
      <w:bookmarkEnd w:id="42"/>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项目联系人：徐雪</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7"/>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07</w:t>
      </w:r>
      <w:r>
        <w:rPr>
          <w:rFonts w:hint="eastAsia" w:ascii="微软雅黑" w:hAnsi="微软雅黑" w:cs="微软雅黑"/>
          <w:szCs w:val="21"/>
        </w:rPr>
        <w:t>月</w:t>
      </w:r>
      <w:r>
        <w:rPr>
          <w:rFonts w:hint="eastAsia" w:ascii="微软雅黑" w:hAnsi="微软雅黑" w:cs="微软雅黑"/>
          <w:szCs w:val="21"/>
          <w:lang w:val="en-US" w:eastAsia="zh-CN"/>
        </w:rPr>
        <w:t>15</w:t>
      </w:r>
      <w:r>
        <w:rPr>
          <w:rFonts w:hint="eastAsia" w:ascii="微软雅黑" w:hAnsi="微软雅黑" w:cs="微软雅黑"/>
          <w:szCs w:val="21"/>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pPr>
      <w:pStyle w:val="11"/>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46A93"/>
    <w:rsid w:val="04DC3411"/>
    <w:rsid w:val="13BB70F3"/>
    <w:rsid w:val="2F046A93"/>
    <w:rsid w:val="38523D2F"/>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32"/>
      <w:szCs w:val="44"/>
    </w:rPr>
  </w:style>
  <w:style w:type="paragraph" w:styleId="6">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Calibri" w:hAnsi="Calibri"/>
    </w:rPr>
  </w:style>
  <w:style w:type="paragraph" w:customStyle="1" w:styleId="3">
    <w:name w:val="BodyTextIndent"/>
    <w:basedOn w:val="1"/>
    <w:next w:val="4"/>
    <w:qFormat/>
    <w:uiPriority w:val="0"/>
    <w:pPr>
      <w:snapToGrid w:val="0"/>
      <w:spacing w:line="440" w:lineRule="exact"/>
      <w:ind w:firstLine="403" w:firstLineChars="192"/>
      <w:textAlignment w:val="baseline"/>
    </w:pPr>
    <w:rPr>
      <w:rFonts w:ascii="宋体" w:hAnsi="宋体" w:eastAsia="宋体"/>
      <w:szCs w:val="21"/>
    </w:rPr>
  </w:style>
  <w:style w:type="paragraph" w:customStyle="1" w:styleId="4">
    <w:name w:val="EnvelopeReturn"/>
    <w:basedOn w:val="1"/>
    <w:qFormat/>
    <w:uiPriority w:val="0"/>
    <w:pPr>
      <w:snapToGrid w:val="0"/>
      <w:textAlignment w:val="baseline"/>
    </w:pPr>
    <w:rPr>
      <w:rFonts w:ascii="Arial" w:hAnsi="Arial"/>
    </w:rPr>
  </w:style>
  <w:style w:type="paragraph" w:styleId="7">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2">
    <w:name w:val="toc 1"/>
    <w:basedOn w:val="1"/>
    <w:next w:val="1"/>
    <w:uiPriority w:val="0"/>
    <w:pPr>
      <w:spacing w:line="580" w:lineRule="exact"/>
    </w:pPr>
    <w:rPr>
      <w:rFonts w:ascii="Calibri" w:hAnsi="Calibri" w:eastAsia="微软雅黑" w:cs="Times New Roman"/>
      <w:sz w:val="24"/>
      <w:szCs w:val="22"/>
    </w:rPr>
  </w:style>
  <w:style w:type="paragraph" w:styleId="13">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4">
    <w:name w:val="toc 6"/>
    <w:basedOn w:val="1"/>
    <w:next w:val="1"/>
    <w:uiPriority w:val="0"/>
    <w:pPr>
      <w:spacing w:line="580" w:lineRule="exact"/>
      <w:ind w:left="2100" w:leftChars="1000"/>
    </w:pPr>
    <w:rPr>
      <w:rFonts w:ascii="Times New Roman" w:hAnsi="Times New Roman" w:eastAsia="微软雅黑"/>
      <w:sz w:val="24"/>
      <w:szCs w:val="24"/>
    </w:rPr>
  </w:style>
  <w:style w:type="paragraph" w:styleId="15">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6">
    <w:name w:val="toc 9"/>
    <w:basedOn w:val="1"/>
    <w:next w:val="1"/>
    <w:uiPriority w:val="0"/>
    <w:pPr>
      <w:spacing w:line="580" w:lineRule="exact"/>
      <w:ind w:left="3360" w:leftChars="1600"/>
    </w:pPr>
    <w:rPr>
      <w:rFonts w:ascii="Times New Roman" w:hAnsi="Times New Roman" w:eastAsia="微软雅黑"/>
      <w:sz w:val="24"/>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20">
    <w:name w:val="Hyperlink"/>
    <w:qFormat/>
    <w:uiPriority w:val="0"/>
    <w:rPr>
      <w:color w:val="000000"/>
      <w:sz w:val="18"/>
      <w:szCs w:val="18"/>
      <w:u w:val="none"/>
    </w:rPr>
  </w:style>
  <w:style w:type="character" w:styleId="21">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2022-07-15T07:21:00Z</dcterms:created>
  <dc:creator>XuXue</dc:creator>
  <cp:lastModifiedBy>XuXue</cp:lastModifiedBy>
  <dcterms:modified xsi:type="dcterms:W3CDTF">2022-07-15T07:22:24Z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