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8"/>
        <w:ind w:firstLine="0"/>
        <w:jc w:val="center"/>
        <w:rPr>
          <w:rFonts w:eastAsia="黑体"/>
          <w:b/>
          <w:bCs/>
          <w:sz w:val="84"/>
        </w:rPr>
      </w:pPr>
    </w:p>
    <w:p>
      <w:pPr>
        <w:pStyle w:val="28"/>
        <w:ind w:firstLine="0"/>
        <w:jc w:val="center"/>
        <w:rPr>
          <w:rFonts w:eastAsia="黑体"/>
          <w:b/>
          <w:bCs/>
          <w:sz w:val="84"/>
        </w:rPr>
      </w:pPr>
    </w:p>
    <w:p>
      <w:pPr>
        <w:pStyle w:val="28"/>
        <w:ind w:firstLine="0"/>
        <w:jc w:val="center"/>
        <w:rPr>
          <w:rFonts w:eastAsia="黑体"/>
          <w:b/>
          <w:bCs/>
          <w:sz w:val="84"/>
        </w:rPr>
      </w:pPr>
      <w:r>
        <w:rPr>
          <w:rFonts w:hint="eastAsia" w:eastAsia="黑体"/>
          <w:b/>
          <w:bCs/>
          <w:sz w:val="84"/>
        </w:rPr>
        <w:t>招　标　文　件</w:t>
      </w:r>
    </w:p>
    <w:p>
      <w:pPr>
        <w:pStyle w:val="28"/>
        <w:ind w:firstLine="2409" w:firstLineChars="750"/>
        <w:rPr>
          <w:b/>
          <w:bCs/>
          <w:sz w:val="32"/>
        </w:rPr>
      </w:pPr>
    </w:p>
    <w:p>
      <w:pPr>
        <w:pStyle w:val="28"/>
        <w:ind w:firstLine="2409" w:firstLineChars="750"/>
        <w:rPr>
          <w:b/>
          <w:bCs/>
          <w:sz w:val="32"/>
        </w:rPr>
      </w:pPr>
    </w:p>
    <w:p>
      <w:pPr>
        <w:pStyle w:val="28"/>
        <w:ind w:firstLine="0"/>
        <w:jc w:val="center"/>
        <w:rPr>
          <w:b/>
          <w:bCs/>
          <w:sz w:val="32"/>
          <w:szCs w:val="32"/>
        </w:rPr>
      </w:pPr>
      <w:r>
        <w:rPr>
          <w:rFonts w:hint="eastAsia"/>
          <w:b/>
          <w:bCs/>
          <w:sz w:val="32"/>
        </w:rPr>
        <w:t>项目名称：</w:t>
      </w:r>
      <w:r>
        <w:rPr>
          <w:rFonts w:hint="eastAsia" w:asciiTheme="minorEastAsia" w:hAnsiTheme="minorEastAsia" w:eastAsiaTheme="minorEastAsia"/>
          <w:b/>
          <w:sz w:val="32"/>
          <w:szCs w:val="32"/>
        </w:rPr>
        <w:t>南京医科大学人体生理学高级教学系统           购置</w:t>
      </w:r>
      <w:r>
        <w:rPr>
          <w:rFonts w:hint="eastAsia" w:asciiTheme="minorEastAsia" w:hAnsiTheme="minorEastAsia" w:eastAsiaTheme="minorEastAsia"/>
          <w:b/>
          <w:bCs/>
          <w:sz w:val="32"/>
          <w:szCs w:val="32"/>
        </w:rPr>
        <w:t>项目</w:t>
      </w:r>
    </w:p>
    <w:p>
      <w:pPr>
        <w:jc w:val="center"/>
        <w:rPr>
          <w:rFonts w:cs="Times New Roman" w:asciiTheme="minorEastAsia" w:hAnsiTheme="minorEastAsia" w:eastAsiaTheme="minorEastAsia"/>
          <w:b/>
          <w:bCs/>
          <w:sz w:val="32"/>
          <w:szCs w:val="32"/>
        </w:rPr>
      </w:pPr>
      <w:r>
        <w:rPr>
          <w:rFonts w:hint="eastAsia" w:ascii="宋体" w:hAnsi="宋体" w:eastAsia="宋体" w:cs="宋体"/>
          <w:b/>
          <w:bCs/>
          <w:sz w:val="32"/>
        </w:rPr>
        <w:t>项目编号</w:t>
      </w:r>
      <w:r>
        <w:rPr>
          <w:rFonts w:hint="eastAsia"/>
          <w:b/>
          <w:bCs/>
          <w:sz w:val="32"/>
        </w:rPr>
        <w:t xml:space="preserve">：NJMUZB3012019075 </w:t>
      </w:r>
    </w:p>
    <w:p>
      <w:pPr>
        <w:pStyle w:val="28"/>
        <w:ind w:firstLine="0"/>
        <w:jc w:val="center"/>
        <w:rPr>
          <w:b/>
          <w:bCs/>
          <w:sz w:val="32"/>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ind w:firstLine="0"/>
        <w:jc w:val="center"/>
        <w:rPr>
          <w:b/>
          <w:bCs/>
          <w:sz w:val="32"/>
        </w:rPr>
      </w:pPr>
    </w:p>
    <w:p>
      <w:pPr>
        <w:pStyle w:val="28"/>
        <w:ind w:firstLine="0"/>
        <w:jc w:val="center"/>
        <w:rPr>
          <w:b/>
          <w:bCs/>
          <w:sz w:val="32"/>
        </w:rPr>
      </w:pPr>
      <w:r>
        <w:rPr>
          <w:rFonts w:hint="eastAsia"/>
          <w:b/>
          <w:bCs/>
          <w:sz w:val="32"/>
        </w:rPr>
        <w:t>南京医科大学</w:t>
      </w:r>
      <w:r>
        <w:br w:type="page"/>
      </w:r>
      <w:bookmarkStart w:id="0" w:name="_Toc517190880"/>
      <w:bookmarkStart w:id="1" w:name="_Toc120614210"/>
      <w:bookmarkStart w:id="2" w:name="_Toc513029200"/>
      <w:bookmarkStart w:id="3" w:name="_Toc20823272"/>
      <w:bookmarkStart w:id="4" w:name="_Toc523127445"/>
      <w:bookmarkStart w:id="5" w:name="_Toc16938516"/>
      <w:bookmarkStart w:id="6" w:name="_Toc479757206"/>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2"/>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2"/>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2"/>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2"/>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2"/>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22"/>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rPr>
          <w:sz w:val="24"/>
        </w:rPr>
      </w:pPr>
      <w:r>
        <w:rPr>
          <w:rFonts w:asciiTheme="minorEastAsia" w:hAnsiTheme="minorEastAsia" w:eastAsiaTheme="minorEastAsia"/>
          <w:b w:val="0"/>
          <w:sz w:val="40"/>
          <w:szCs w:val="28"/>
        </w:rPr>
        <w:fldChar w:fldCharType="end"/>
      </w:r>
      <w:r>
        <w:rPr>
          <w:rFonts w:hint="eastAsia"/>
          <w:sz w:val="24"/>
          <w:szCs w:val="24"/>
        </w:rPr>
        <w:t>第六章拟签订的合同文本</w:t>
      </w:r>
      <w:r>
        <w:tab/>
      </w:r>
      <w:r>
        <w:rPr>
          <w:rFonts w:hint="eastAsia"/>
          <w:sz w:val="24"/>
        </w:rPr>
        <w:t>31</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p/>
    <w:bookmarkEnd w:id="1"/>
    <w:p>
      <w:pPr>
        <w:pStyle w:val="3"/>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bookmarkEnd w:id="2"/>
    <w:bookmarkEnd w:id="3"/>
    <w:bookmarkEnd w:id="4"/>
    <w:bookmarkEnd w:id="5"/>
    <w:bookmarkEnd w:id="6"/>
    <w:p>
      <w:pPr>
        <w:spacing w:beforeLines="50" w:afterLines="50" w:line="280" w:lineRule="exact"/>
        <w:ind w:firstLine="560" w:firstLineChars="200"/>
        <w:rPr>
          <w:rFonts w:asciiTheme="minorEastAsia" w:hAnsiTheme="minorEastAsia" w:eastAsiaTheme="minorEastAsia"/>
          <w:sz w:val="28"/>
          <w:szCs w:val="28"/>
        </w:rPr>
      </w:pPr>
      <w:bookmarkStart w:id="8" w:name="_Toc479757207"/>
      <w:bookmarkStart w:id="9" w:name="OLE_LINK1"/>
      <w:bookmarkStart w:id="10" w:name="_Toc120614211"/>
      <w:bookmarkStart w:id="11" w:name="_Toc444669970"/>
      <w:bookmarkStart w:id="12" w:name="_Toc120614221"/>
      <w:bookmarkStart w:id="13" w:name="OLE_LINK2"/>
      <w:bookmarkStart w:id="14" w:name="_Toc16938558"/>
      <w:bookmarkStart w:id="15" w:name="_Toc513029242"/>
      <w:bookmarkStart w:id="16" w:name="_Toc20823314"/>
    </w:p>
    <w:p>
      <w:pPr>
        <w:spacing w:beforeLines="5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 xml:space="preserve"> 人体生理学高级教学系统  </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Lines="50" w:afterLines="50" w:line="2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Lines="50" w:afterLines="50" w:line="280" w:lineRule="exact"/>
        <w:ind w:firstLine="560" w:firstLineChars="200"/>
        <w:rPr>
          <w:rFonts w:asciiTheme="minorEastAsia" w:hAnsiTheme="minorEastAsia" w:eastAsiaTheme="minorEastAsia"/>
          <w:sz w:val="21"/>
          <w:szCs w:val="21"/>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sz w:val="21"/>
          <w:szCs w:val="21"/>
        </w:rPr>
        <w:t>南京医科大学人体生理学高级教学系统购置项目</w:t>
      </w:r>
    </w:p>
    <w:p>
      <w:pPr>
        <w:spacing w:beforeLines="5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（二）采购项目编号：NJMUZB3012019075 </w:t>
      </w:r>
    </w:p>
    <w:p>
      <w:pPr>
        <w:spacing w:beforeLines="50" w:afterLines="50" w:line="2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 xml:space="preserve">:   ￥ 16万元                                               </w:t>
      </w:r>
    </w:p>
    <w:p>
      <w:pPr>
        <w:spacing w:beforeLines="50" w:afterLines="50" w:line="2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after="0" w:line="28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（一）项目具体要求详见第三章：项目需求；</w:t>
      </w:r>
    </w:p>
    <w:p>
      <w:pPr>
        <w:spacing w:after="0" w:line="28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（二）项目一律采用人民币报价(包干价)，其他币种报价不予接受，后果由投标人承担。</w:t>
      </w:r>
    </w:p>
    <w:p>
      <w:pPr>
        <w:spacing w:after="0" w:line="500" w:lineRule="exact"/>
        <w:ind w:firstLine="560" w:firstLineChars="200"/>
      </w:pPr>
      <w:r>
        <w:rPr>
          <w:rFonts w:hint="eastAsia" w:asciiTheme="minorEastAsia" w:hAnsiTheme="minorEastAsia" w:eastAsiaTheme="minorEastAsia"/>
          <w:bCs/>
          <w:sz w:val="28"/>
          <w:szCs w:val="28"/>
        </w:rPr>
        <w:t>（三）如为进口设备，需提供免税报价。</w:t>
      </w:r>
    </w:p>
    <w:p>
      <w:pPr>
        <w:spacing w:beforeLines="50" w:afterLines="50" w:line="28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pStyle w:val="8"/>
        <w:spacing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asciiTheme="minorEastAsia" w:hAnsiTheme="minorEastAsia" w:eastAsiaTheme="minorEastAsia"/>
          <w:sz w:val="28"/>
          <w:szCs w:val="28"/>
        </w:rPr>
        <w:t>符合政府采购法第二</w:t>
      </w:r>
      <w:r>
        <w:rPr>
          <w:rFonts w:hint="eastAsia" w:asciiTheme="minorEastAsia" w:hAnsiTheme="minorEastAsia" w:eastAsiaTheme="minorEastAsia"/>
          <w:sz w:val="28"/>
          <w:szCs w:val="28"/>
        </w:rPr>
        <w:t>十二条第一款规定的条件，并提供下列材料</w:t>
      </w:r>
      <w:r>
        <w:rPr>
          <w:rFonts w:hint="eastAsia" w:asciiTheme="minorEastAsia" w:hAnsiTheme="minorEastAsia" w:eastAsiaTheme="minorEastAsia"/>
          <w:b/>
          <w:bCs/>
          <w:color w:val="FF0000"/>
          <w:sz w:val="28"/>
          <w:szCs w:val="28"/>
        </w:rPr>
        <w:t>（注：分别提供纸质材料并加盖公章，原件备查）</w:t>
      </w:r>
      <w:r>
        <w:rPr>
          <w:rFonts w:hint="eastAsia" w:asciiTheme="minorEastAsia" w:hAnsiTheme="minorEastAsia" w:eastAsiaTheme="minorEastAsia"/>
          <w:sz w:val="28"/>
          <w:szCs w:val="28"/>
        </w:rPr>
        <w:t>；</w:t>
      </w:r>
    </w:p>
    <w:p>
      <w:pPr>
        <w:spacing w:after="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w:t>
      </w:r>
      <w:r>
        <w:rPr>
          <w:rFonts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asciiTheme="minorEastAsia" w:hAnsiTheme="minorEastAsia" w:eastAsiaTheme="minorEastAsia"/>
          <w:sz w:val="28"/>
          <w:szCs w:val="28"/>
        </w:rPr>
        <w:t>的身份证明；</w:t>
      </w:r>
      <w:r>
        <w:rPr>
          <w:rFonts w:asciiTheme="minorEastAsia" w:hAnsiTheme="minorEastAsia" w:eastAsiaTheme="minorEastAsia"/>
          <w:sz w:val="28"/>
          <w:szCs w:val="28"/>
        </w:rPr>
        <w:br w:type="textWrapping"/>
      </w:r>
      <w:r>
        <w:rPr>
          <w:rFonts w:asciiTheme="minorEastAsia" w:hAnsiTheme="minorEastAsia" w:eastAsiaTheme="minorEastAsia"/>
          <w:sz w:val="28"/>
          <w:szCs w:val="28"/>
        </w:rPr>
        <w:t>　</w:t>
      </w:r>
      <w:r>
        <w:rPr>
          <w:rFonts w:hint="eastAsia" w:asciiTheme="minorEastAsia" w:hAnsiTheme="minorEastAsia" w:eastAsiaTheme="minorEastAsia"/>
          <w:sz w:val="28"/>
          <w:szCs w:val="28"/>
        </w:rPr>
        <w:t xml:space="preserve">  2、具有良好的商业信誉和健全的财务会计制度（提供参加本次采购活动前近六个月内（2019年1月至今）任一月份的资产负债表和利润表，或2018年经审计的财务报告（提供相关复印件并加盖公章），或银行出具的资信证明，或财政部门认可的专业担保机构出具的投标担保函（法人或者其他组织成立未满一年的可以不提供）；</w:t>
      </w:r>
    </w:p>
    <w:p>
      <w:pPr>
        <w:spacing w:beforeLines="50" w:afterLines="50" w:line="28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28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Lines="5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Lines="50" w:afterLines="50" w:line="2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2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w:t>
      </w:r>
      <w:r>
        <w:rPr>
          <w:rFonts w:hint="eastAsia" w:asciiTheme="minorEastAsia" w:hAnsiTheme="minorEastAsia" w:eastAsiaTheme="minorEastAsia"/>
          <w:b/>
          <w:bCs/>
          <w:sz w:val="24"/>
          <w:szCs w:val="24"/>
          <w:highlight w:val="none"/>
        </w:rPr>
        <w:t>2019年</w:t>
      </w:r>
      <w:r>
        <w:rPr>
          <w:rFonts w:hint="eastAsia" w:asciiTheme="minorEastAsia" w:hAnsiTheme="minorEastAsia" w:eastAsiaTheme="minorEastAsia"/>
          <w:b/>
          <w:bCs/>
          <w:sz w:val="24"/>
          <w:szCs w:val="24"/>
          <w:highlight w:val="none"/>
          <w:lang w:val="en-US" w:eastAsia="zh-CN"/>
        </w:rPr>
        <w:t>12</w:t>
      </w:r>
      <w:r>
        <w:rPr>
          <w:rFonts w:hint="eastAsia" w:asciiTheme="minorEastAsia" w:hAnsiTheme="minorEastAsia" w:eastAsiaTheme="minorEastAsia"/>
          <w:b/>
          <w:bCs/>
          <w:sz w:val="24"/>
          <w:szCs w:val="24"/>
          <w:highlight w:val="none"/>
        </w:rPr>
        <w:t>月</w:t>
      </w:r>
      <w:r>
        <w:rPr>
          <w:rFonts w:hint="eastAsia" w:asciiTheme="minorEastAsia" w:hAnsiTheme="minorEastAsia" w:eastAsiaTheme="minorEastAsia"/>
          <w:b/>
          <w:bCs/>
          <w:sz w:val="24"/>
          <w:szCs w:val="24"/>
          <w:highlight w:val="none"/>
          <w:lang w:val="en-US" w:eastAsia="zh-CN"/>
        </w:rPr>
        <w:t>12</w:t>
      </w:r>
      <w:r>
        <w:rPr>
          <w:rFonts w:hint="eastAsia" w:asciiTheme="minorEastAsia" w:hAnsiTheme="minorEastAsia" w:eastAsiaTheme="minorEastAsia"/>
          <w:b/>
          <w:bCs/>
          <w:sz w:val="24"/>
          <w:szCs w:val="24"/>
          <w:highlight w:val="none"/>
        </w:rPr>
        <w:t>日</w:t>
      </w:r>
      <w:r>
        <w:rPr>
          <w:rFonts w:hint="eastAsia" w:asciiTheme="minorEastAsia" w:hAnsiTheme="minorEastAsia" w:eastAsiaTheme="minorEastAsia"/>
          <w:b/>
          <w:bCs/>
          <w:sz w:val="24"/>
          <w:szCs w:val="24"/>
          <w:highlight w:val="none"/>
          <w:lang w:eastAsia="zh-CN"/>
        </w:rPr>
        <w:t>下</w:t>
      </w:r>
      <w:r>
        <w:rPr>
          <w:rFonts w:hint="eastAsia" w:asciiTheme="minorEastAsia" w:hAnsiTheme="minorEastAsia" w:eastAsiaTheme="minorEastAsia"/>
          <w:b/>
          <w:bCs/>
          <w:sz w:val="24"/>
          <w:szCs w:val="24"/>
          <w:highlight w:val="none"/>
        </w:rPr>
        <w:t>午</w:t>
      </w:r>
      <w:r>
        <w:rPr>
          <w:rFonts w:hint="eastAsia" w:asciiTheme="minorEastAsia" w:hAnsiTheme="minorEastAsia" w:eastAsiaTheme="minorEastAsia"/>
          <w:b/>
          <w:bCs/>
          <w:sz w:val="24"/>
          <w:szCs w:val="24"/>
          <w:highlight w:val="none"/>
          <w:lang w:val="en-US" w:eastAsia="zh-CN"/>
        </w:rPr>
        <w:t>12</w:t>
      </w:r>
      <w:r>
        <w:rPr>
          <w:rFonts w:hint="eastAsia" w:asciiTheme="minorEastAsia" w:hAnsiTheme="minorEastAsia" w:eastAsiaTheme="minorEastAsia"/>
          <w:b/>
          <w:bCs/>
          <w:sz w:val="24"/>
          <w:szCs w:val="24"/>
          <w:highlight w:val="none"/>
        </w:rPr>
        <w:t>:30（北京时间）</w:t>
      </w:r>
    </w:p>
    <w:p>
      <w:pPr>
        <w:spacing w:line="280" w:lineRule="exact"/>
        <w:ind w:firstLine="1080" w:firstLineChars="450"/>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投标文件接收截止时间：</w:t>
      </w:r>
      <w:r>
        <w:rPr>
          <w:rFonts w:hint="eastAsia" w:asciiTheme="minorEastAsia" w:hAnsiTheme="minorEastAsia" w:eastAsiaTheme="minorEastAsia"/>
          <w:b/>
          <w:bCs/>
          <w:sz w:val="24"/>
          <w:szCs w:val="24"/>
          <w:highlight w:val="none"/>
        </w:rPr>
        <w:t>2019年</w:t>
      </w:r>
      <w:r>
        <w:rPr>
          <w:rFonts w:hint="eastAsia" w:asciiTheme="minorEastAsia" w:hAnsiTheme="minorEastAsia" w:eastAsiaTheme="minorEastAsia"/>
          <w:b/>
          <w:bCs/>
          <w:sz w:val="24"/>
          <w:szCs w:val="24"/>
          <w:highlight w:val="none"/>
          <w:lang w:val="en-US" w:eastAsia="zh-CN"/>
        </w:rPr>
        <w:t>12</w:t>
      </w:r>
      <w:r>
        <w:rPr>
          <w:rFonts w:hint="eastAsia" w:asciiTheme="minorEastAsia" w:hAnsiTheme="minorEastAsia" w:eastAsiaTheme="minorEastAsia"/>
          <w:b/>
          <w:bCs/>
          <w:sz w:val="24"/>
          <w:szCs w:val="24"/>
          <w:highlight w:val="none"/>
        </w:rPr>
        <w:t>月</w:t>
      </w:r>
      <w:r>
        <w:rPr>
          <w:rFonts w:hint="eastAsia" w:asciiTheme="minorEastAsia" w:hAnsiTheme="minorEastAsia" w:eastAsiaTheme="minorEastAsia"/>
          <w:b/>
          <w:bCs/>
          <w:sz w:val="24"/>
          <w:szCs w:val="24"/>
          <w:highlight w:val="none"/>
          <w:lang w:val="en-US" w:eastAsia="zh-CN"/>
        </w:rPr>
        <w:t>12</w:t>
      </w:r>
      <w:r>
        <w:rPr>
          <w:rFonts w:hint="eastAsia" w:asciiTheme="minorEastAsia" w:hAnsiTheme="minorEastAsia" w:eastAsiaTheme="minorEastAsia"/>
          <w:b/>
          <w:bCs/>
          <w:sz w:val="24"/>
          <w:szCs w:val="24"/>
          <w:highlight w:val="none"/>
        </w:rPr>
        <w:t>日</w:t>
      </w:r>
      <w:r>
        <w:rPr>
          <w:rFonts w:hint="eastAsia" w:asciiTheme="minorEastAsia" w:hAnsiTheme="minorEastAsia" w:eastAsiaTheme="minorEastAsia"/>
          <w:b/>
          <w:bCs/>
          <w:sz w:val="24"/>
          <w:szCs w:val="24"/>
          <w:highlight w:val="none"/>
          <w:lang w:eastAsia="zh-CN"/>
        </w:rPr>
        <w:t>下</w:t>
      </w:r>
      <w:r>
        <w:rPr>
          <w:rFonts w:hint="eastAsia" w:asciiTheme="minorEastAsia" w:hAnsiTheme="minorEastAsia" w:eastAsiaTheme="minorEastAsia"/>
          <w:b/>
          <w:bCs/>
          <w:sz w:val="24"/>
          <w:szCs w:val="24"/>
          <w:highlight w:val="none"/>
        </w:rPr>
        <w:t>午</w:t>
      </w:r>
      <w:r>
        <w:rPr>
          <w:rFonts w:hint="eastAsia" w:asciiTheme="minorEastAsia" w:hAnsiTheme="minorEastAsia" w:eastAsiaTheme="minorEastAsia"/>
          <w:b/>
          <w:bCs/>
          <w:sz w:val="24"/>
          <w:szCs w:val="24"/>
          <w:highlight w:val="none"/>
          <w:lang w:val="en-US" w:eastAsia="zh-CN"/>
        </w:rPr>
        <w:t>13</w:t>
      </w:r>
      <w:r>
        <w:rPr>
          <w:rFonts w:hint="eastAsia" w:asciiTheme="minorEastAsia" w:hAnsiTheme="minorEastAsia" w:eastAsiaTheme="minorEastAsia"/>
          <w:b/>
          <w:bCs/>
          <w:sz w:val="24"/>
          <w:szCs w:val="24"/>
          <w:highlight w:val="none"/>
        </w:rPr>
        <w:t>:</w:t>
      </w:r>
      <w:r>
        <w:rPr>
          <w:rFonts w:hint="eastAsia" w:asciiTheme="minorEastAsia" w:hAnsiTheme="minorEastAsia" w:eastAsiaTheme="minorEastAsia"/>
          <w:b/>
          <w:bCs/>
          <w:sz w:val="24"/>
          <w:szCs w:val="24"/>
          <w:highlight w:val="none"/>
          <w:lang w:val="en-US" w:eastAsia="zh-CN"/>
        </w:rPr>
        <w:t>30</w:t>
      </w:r>
      <w:r>
        <w:rPr>
          <w:rFonts w:hint="eastAsia" w:asciiTheme="minorEastAsia" w:hAnsiTheme="minorEastAsia" w:eastAsiaTheme="minorEastAsia"/>
          <w:b/>
          <w:bCs/>
          <w:sz w:val="24"/>
          <w:szCs w:val="24"/>
          <w:highlight w:val="none"/>
        </w:rPr>
        <w:t>（北京时间）</w:t>
      </w:r>
    </w:p>
    <w:p>
      <w:pPr>
        <w:spacing w:line="280" w:lineRule="exact"/>
        <w:ind w:left="1089" w:leftChars="495"/>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28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spacing w:line="28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w:t>
      </w:r>
      <w:r>
        <w:rPr>
          <w:rFonts w:hint="eastAsia" w:asciiTheme="minorEastAsia" w:hAnsiTheme="minorEastAsia" w:eastAsiaTheme="minorEastAsia"/>
          <w:b/>
          <w:bCs/>
          <w:sz w:val="24"/>
          <w:szCs w:val="24"/>
          <w:highlight w:val="none"/>
        </w:rPr>
        <w:t>2019年</w:t>
      </w:r>
      <w:r>
        <w:rPr>
          <w:rFonts w:hint="eastAsia" w:asciiTheme="minorEastAsia" w:hAnsiTheme="minorEastAsia" w:eastAsiaTheme="minorEastAsia"/>
          <w:b/>
          <w:bCs/>
          <w:sz w:val="24"/>
          <w:szCs w:val="24"/>
          <w:highlight w:val="none"/>
          <w:lang w:val="en-US" w:eastAsia="zh-CN"/>
        </w:rPr>
        <w:t>12</w:t>
      </w:r>
      <w:r>
        <w:rPr>
          <w:rFonts w:hint="eastAsia" w:asciiTheme="minorEastAsia" w:hAnsiTheme="minorEastAsia" w:eastAsiaTheme="minorEastAsia"/>
          <w:b/>
          <w:bCs/>
          <w:sz w:val="24"/>
          <w:szCs w:val="24"/>
          <w:highlight w:val="none"/>
        </w:rPr>
        <w:t>月</w:t>
      </w:r>
      <w:r>
        <w:rPr>
          <w:rFonts w:hint="eastAsia" w:asciiTheme="minorEastAsia" w:hAnsiTheme="minorEastAsia" w:eastAsiaTheme="minorEastAsia"/>
          <w:b/>
          <w:bCs/>
          <w:sz w:val="24"/>
          <w:szCs w:val="24"/>
          <w:highlight w:val="none"/>
          <w:lang w:val="en-US" w:eastAsia="zh-CN"/>
        </w:rPr>
        <w:t>12</w:t>
      </w:r>
      <w:r>
        <w:rPr>
          <w:rFonts w:hint="eastAsia" w:asciiTheme="minorEastAsia" w:hAnsiTheme="minorEastAsia" w:eastAsiaTheme="minorEastAsia"/>
          <w:b/>
          <w:bCs/>
          <w:sz w:val="24"/>
          <w:szCs w:val="24"/>
          <w:highlight w:val="none"/>
        </w:rPr>
        <w:t>日</w:t>
      </w:r>
      <w:r>
        <w:rPr>
          <w:rFonts w:hint="eastAsia" w:asciiTheme="minorEastAsia" w:hAnsiTheme="minorEastAsia" w:eastAsiaTheme="minorEastAsia"/>
          <w:b/>
          <w:bCs/>
          <w:sz w:val="24"/>
          <w:szCs w:val="24"/>
          <w:highlight w:val="none"/>
          <w:lang w:eastAsia="zh-CN"/>
        </w:rPr>
        <w:t>下</w:t>
      </w:r>
      <w:r>
        <w:rPr>
          <w:rFonts w:hint="eastAsia" w:asciiTheme="minorEastAsia" w:hAnsiTheme="minorEastAsia" w:eastAsiaTheme="minorEastAsia"/>
          <w:b/>
          <w:bCs/>
          <w:sz w:val="24"/>
          <w:szCs w:val="24"/>
          <w:highlight w:val="none"/>
        </w:rPr>
        <w:t>午</w:t>
      </w:r>
      <w:r>
        <w:rPr>
          <w:rFonts w:hint="eastAsia" w:asciiTheme="minorEastAsia" w:hAnsiTheme="minorEastAsia" w:eastAsiaTheme="minorEastAsia"/>
          <w:b/>
          <w:bCs/>
          <w:sz w:val="24"/>
          <w:szCs w:val="24"/>
          <w:highlight w:val="none"/>
          <w:lang w:val="en-US" w:eastAsia="zh-CN"/>
        </w:rPr>
        <w:t>13</w:t>
      </w:r>
      <w:r>
        <w:rPr>
          <w:rFonts w:hint="eastAsia" w:asciiTheme="minorEastAsia" w:hAnsiTheme="minorEastAsia" w:eastAsiaTheme="minorEastAsia"/>
          <w:b/>
          <w:bCs/>
          <w:sz w:val="24"/>
          <w:szCs w:val="24"/>
          <w:highlight w:val="none"/>
        </w:rPr>
        <w:t>:</w:t>
      </w:r>
      <w:r>
        <w:rPr>
          <w:rFonts w:hint="eastAsia" w:asciiTheme="minorEastAsia" w:hAnsiTheme="minorEastAsia" w:eastAsiaTheme="minorEastAsia"/>
          <w:b/>
          <w:bCs/>
          <w:sz w:val="24"/>
          <w:szCs w:val="24"/>
          <w:highlight w:val="none"/>
          <w:lang w:val="en-US" w:eastAsia="zh-CN"/>
        </w:rPr>
        <w:t>30</w:t>
      </w:r>
      <w:r>
        <w:rPr>
          <w:rFonts w:hint="eastAsia" w:asciiTheme="minorEastAsia" w:hAnsiTheme="minorEastAsia" w:eastAsiaTheme="minorEastAsia"/>
          <w:b/>
          <w:bCs/>
          <w:sz w:val="24"/>
          <w:szCs w:val="24"/>
          <w:highlight w:val="none"/>
        </w:rPr>
        <w:t>（北京时间）</w:t>
      </w:r>
      <w:bookmarkStart w:id="180" w:name="_GoBack"/>
      <w:bookmarkEnd w:id="180"/>
    </w:p>
    <w:p>
      <w:pPr>
        <w:spacing w:line="28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numPr>
          <w:ilvl w:val="0"/>
          <w:numId w:val="3"/>
        </w:numPr>
        <w:spacing w:beforeLines="5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投标文件接收要求：投标文件一式五份，其中正本一份、副本四份，在标书封面标注“正本”、“副本”字样，标书密封并在封口处加盖公章。开标一览表密封装订单独递交。逾期送达及未按要求密封的投标文件，采购人不予接收。</w:t>
      </w:r>
    </w:p>
    <w:p>
      <w:pPr>
        <w:spacing w:beforeLines="50" w:afterLines="50" w:line="280" w:lineRule="exact"/>
        <w:ind w:firstLine="500" w:firstLineChars="200"/>
        <w:rPr>
          <w:rFonts w:asciiTheme="minorEastAsia" w:hAnsiTheme="minorEastAsia" w:eastAsiaTheme="minorEastAsia"/>
          <w:sz w:val="28"/>
          <w:szCs w:val="28"/>
        </w:rPr>
      </w:pPr>
      <w:r>
        <w:rPr>
          <w:rFonts w:hint="eastAsia"/>
          <w:b/>
          <w:i/>
          <w:color w:val="FF0000"/>
          <w:sz w:val="25"/>
          <w:szCs w:val="25"/>
          <w:u w:val="single"/>
        </w:rPr>
        <w:t>（四）开标一览表必须加</w:t>
      </w:r>
      <w:r>
        <w:rPr>
          <w:rFonts w:hint="eastAsia"/>
          <w:b/>
          <w:bCs/>
          <w:i/>
          <w:iCs/>
          <w:color w:val="FF0000"/>
          <w:sz w:val="25"/>
          <w:szCs w:val="25"/>
          <w:u w:val="single"/>
        </w:rPr>
        <w:t>盖投标人公章（复印件无效），必须</w:t>
      </w:r>
      <w:r>
        <w:rPr>
          <w:rFonts w:hint="eastAsia"/>
          <w:b/>
          <w:i/>
          <w:color w:val="FF0000"/>
          <w:sz w:val="25"/>
          <w:szCs w:val="25"/>
          <w:u w:val="single"/>
        </w:rPr>
        <w:t>单独密封在信封中，在投标截止时间前与投标文件分别递交，否则视为无效投标。</w:t>
      </w:r>
    </w:p>
    <w:p>
      <w:pPr>
        <w:spacing w:beforeLines="5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（五）需要现场澄清的问题，投标商代表未到场书面澄清确认的，后果自负。</w:t>
      </w:r>
    </w:p>
    <w:p>
      <w:pPr>
        <w:spacing w:beforeLines="50" w:afterLines="50" w:line="2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2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28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28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2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28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    陈老师           电话：025-86868572 </w:t>
      </w:r>
    </w:p>
    <w:p>
      <w:pPr>
        <w:spacing w:line="28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项目需求方联系人：滕</w:t>
      </w:r>
      <w:r>
        <w:rPr>
          <w:rFonts w:hint="eastAsia" w:ascii="宋体" w:hAnsi="宋体" w:eastAsia="宋体" w:cs="Times New Roman"/>
          <w:sz w:val="24"/>
          <w:szCs w:val="24"/>
        </w:rPr>
        <w:t>老师</w:t>
      </w:r>
      <w:r>
        <w:rPr>
          <w:rFonts w:hint="eastAsia" w:asciiTheme="minorEastAsia" w:hAnsiTheme="minorEastAsia" w:eastAsiaTheme="minorEastAsia"/>
          <w:sz w:val="24"/>
          <w:szCs w:val="24"/>
        </w:rPr>
        <w:t xml:space="preserve">           电话：15720801751</w:t>
      </w:r>
    </w:p>
    <w:p>
      <w:pPr>
        <w:spacing w:line="28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28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 xml:space="preserve">地址：南京医科大学江宁校区明达楼108室（南京市江宁区龙眠大道101号） </w:t>
      </w:r>
      <w:r>
        <w:rPr>
          <w:rFonts w:hint="eastAsia" w:asciiTheme="minorEastAsia" w:hAnsiTheme="minorEastAsia" w:eastAsiaTheme="minorEastAsia"/>
          <w:sz w:val="28"/>
          <w:szCs w:val="28"/>
        </w:rPr>
        <w:t xml:space="preserve">                    </w:t>
      </w:r>
    </w:p>
    <w:p>
      <w:pPr>
        <w:spacing w:beforeLines="50" w:afterLines="50" w:line="2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Lines="50" w:afterLines="50" w:line="280" w:lineRule="exact"/>
        <w:ind w:firstLine="560" w:firstLineChars="200"/>
        <w:rPr>
          <w:rFonts w:asciiTheme="minorEastAsia" w:hAnsiTheme="minorEastAsia" w:eastAsiaTheme="minorEastAsia"/>
          <w:b/>
          <w:bCs/>
          <w:sz w:val="28"/>
          <w:szCs w:val="28"/>
        </w:rPr>
      </w:pPr>
      <w:r>
        <w:rPr>
          <w:rFonts w:hint="eastAsia" w:asciiTheme="minorEastAsia" w:hAnsiTheme="minorEastAsia" w:eastAsiaTheme="minorEastAsia"/>
          <w:sz w:val="28"/>
          <w:szCs w:val="28"/>
        </w:rPr>
        <w:t>2、</w:t>
      </w:r>
      <w:r>
        <w:rPr>
          <w:rFonts w:hint="eastAsia" w:asciiTheme="minorEastAsia" w:hAnsiTheme="minorEastAsia" w:eastAsiaTheme="minorEastAsia"/>
          <w:b/>
          <w:bCs/>
          <w:sz w:val="28"/>
          <w:szCs w:val="28"/>
        </w:rPr>
        <w:t>本次招标需要提供样品,样品名称：人体生理学高级教学系统（具体要求参照第三章“项目需求”内技术要求项），数量：1台</w:t>
      </w:r>
    </w:p>
    <w:bookmarkEnd w:id="8"/>
    <w:bookmarkEnd w:id="9"/>
    <w:bookmarkEnd w:id="10"/>
    <w:bookmarkEnd w:id="11"/>
    <w:bookmarkEnd w:id="12"/>
    <w:bookmarkEnd w:id="13"/>
    <w:bookmarkEnd w:id="14"/>
    <w:bookmarkEnd w:id="15"/>
    <w:bookmarkEnd w:id="16"/>
    <w:p>
      <w:pPr>
        <w:pStyle w:val="3"/>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20823274"/>
      <w:bookmarkStart w:id="19" w:name="_Toc513029202"/>
      <w:bookmarkStart w:id="20" w:name="_Toc16938518"/>
      <w:bookmarkStart w:id="21" w:name="_Toc120614213"/>
      <w:r>
        <w:rPr>
          <w:rFonts w:hint="eastAsia" w:asciiTheme="majorEastAsia" w:hAnsiTheme="majorEastAsia" w:eastAsiaTheme="majorEastAsia"/>
          <w:b/>
          <w:sz w:val="44"/>
        </w:rPr>
        <w:t>投标人须知</w:t>
      </w:r>
      <w:bookmarkEnd w:id="17"/>
      <w:bookmarkEnd w:id="18"/>
      <w:bookmarkEnd w:id="19"/>
      <w:bookmarkEnd w:id="20"/>
      <w:bookmarkEnd w:id="21"/>
    </w:p>
    <w:p>
      <w:pPr>
        <w:pStyle w:val="28"/>
        <w:rPr>
          <w:b/>
          <w:sz w:val="28"/>
          <w:szCs w:val="28"/>
        </w:rPr>
      </w:pPr>
      <w:bookmarkStart w:id="22" w:name="_Toc120614214"/>
      <w:bookmarkStart w:id="23" w:name="_Toc513029203"/>
      <w:bookmarkStart w:id="24" w:name="_Toc20823275"/>
      <w:bookmarkStart w:id="25" w:name="_Toc16938519"/>
      <w:r>
        <w:rPr>
          <w:rFonts w:hint="eastAsia"/>
          <w:b/>
          <w:sz w:val="28"/>
          <w:szCs w:val="28"/>
        </w:rPr>
        <w:t>一、总则</w:t>
      </w:r>
      <w:bookmarkEnd w:id="22"/>
      <w:bookmarkEnd w:id="23"/>
      <w:bookmarkEnd w:id="24"/>
      <w:bookmarkEnd w:id="25"/>
    </w:p>
    <w:p>
      <w:pPr>
        <w:pStyle w:val="28"/>
        <w:rPr>
          <w:b/>
          <w:bCs/>
          <w:sz w:val="28"/>
          <w:szCs w:val="28"/>
        </w:rPr>
      </w:pPr>
      <w:bookmarkStart w:id="26" w:name="_Hlt16619475"/>
      <w:bookmarkEnd w:id="26"/>
      <w:bookmarkStart w:id="27" w:name="_Toc458694821"/>
      <w:bookmarkStart w:id="28" w:name="_Toc16938520"/>
      <w:bookmarkStart w:id="29" w:name="_Toc513029204"/>
      <w:bookmarkStart w:id="30" w:name="_Toc20823276"/>
      <w:r>
        <w:rPr>
          <w:rFonts w:hint="eastAsia"/>
          <w:b/>
          <w:bCs/>
          <w:sz w:val="28"/>
          <w:szCs w:val="28"/>
        </w:rPr>
        <w:t>1</w:t>
      </w:r>
      <w:bookmarkEnd w:id="27"/>
      <w:r>
        <w:rPr>
          <w:rFonts w:hint="eastAsia"/>
          <w:b/>
          <w:bCs/>
          <w:sz w:val="28"/>
          <w:szCs w:val="28"/>
        </w:rPr>
        <w:t>、招标方式</w:t>
      </w:r>
      <w:bookmarkEnd w:id="28"/>
      <w:bookmarkEnd w:id="29"/>
      <w:bookmarkEnd w:id="30"/>
    </w:p>
    <w:p>
      <w:pPr>
        <w:pStyle w:val="28"/>
        <w:rPr>
          <w:sz w:val="28"/>
          <w:szCs w:val="28"/>
        </w:rPr>
      </w:pPr>
      <w:r>
        <w:rPr>
          <w:rFonts w:hint="eastAsia"/>
          <w:sz w:val="28"/>
          <w:szCs w:val="28"/>
        </w:rPr>
        <w:t>1.1 本次招标采取公开招标方式，本招标文件仅适用于招标公告中所述项目。</w:t>
      </w:r>
    </w:p>
    <w:p>
      <w:pPr>
        <w:pStyle w:val="28"/>
        <w:rPr>
          <w:b/>
          <w:bCs/>
          <w:sz w:val="28"/>
          <w:szCs w:val="28"/>
        </w:rPr>
      </w:pPr>
      <w:bookmarkStart w:id="31" w:name="_Toc20823277"/>
      <w:bookmarkStart w:id="32" w:name="_Toc513029205"/>
      <w:bookmarkStart w:id="33" w:name="_Toc16938521"/>
      <w:r>
        <w:rPr>
          <w:rFonts w:hint="eastAsia"/>
          <w:b/>
          <w:bCs/>
          <w:sz w:val="28"/>
          <w:szCs w:val="28"/>
        </w:rPr>
        <w:t>2、合格的投标人</w:t>
      </w:r>
      <w:bookmarkEnd w:id="31"/>
      <w:bookmarkEnd w:id="32"/>
      <w:bookmarkEnd w:id="33"/>
    </w:p>
    <w:p>
      <w:pPr>
        <w:pStyle w:val="28"/>
        <w:rPr>
          <w:sz w:val="28"/>
          <w:szCs w:val="28"/>
        </w:rPr>
      </w:pPr>
      <w:r>
        <w:rPr>
          <w:rFonts w:hint="eastAsia"/>
          <w:sz w:val="28"/>
          <w:szCs w:val="28"/>
        </w:rPr>
        <w:t>2.1满足招标公告中供应商资格要求的规定。</w:t>
      </w:r>
    </w:p>
    <w:p>
      <w:pPr>
        <w:pStyle w:val="28"/>
        <w:rPr>
          <w:sz w:val="28"/>
          <w:szCs w:val="28"/>
        </w:rPr>
      </w:pPr>
      <w:r>
        <w:rPr>
          <w:rFonts w:hint="eastAsia"/>
          <w:sz w:val="28"/>
          <w:szCs w:val="28"/>
        </w:rPr>
        <w:t>2.2 满足本文件实质性条款的规定。</w:t>
      </w:r>
    </w:p>
    <w:p>
      <w:pPr>
        <w:pStyle w:val="28"/>
        <w:rPr>
          <w:b/>
          <w:bCs/>
          <w:sz w:val="28"/>
          <w:szCs w:val="28"/>
        </w:rPr>
      </w:pPr>
      <w:bookmarkStart w:id="34" w:name="_Toc513029206"/>
      <w:bookmarkStart w:id="35" w:name="_Toc16938522"/>
      <w:bookmarkStart w:id="36" w:name="_Toc20823278"/>
      <w:r>
        <w:rPr>
          <w:rFonts w:hint="eastAsia"/>
          <w:b/>
          <w:bCs/>
          <w:sz w:val="28"/>
          <w:szCs w:val="28"/>
        </w:rPr>
        <w:t>3、适用法律</w:t>
      </w:r>
      <w:bookmarkEnd w:id="34"/>
      <w:bookmarkEnd w:id="35"/>
      <w:bookmarkEnd w:id="36"/>
    </w:p>
    <w:p>
      <w:pPr>
        <w:pStyle w:val="28"/>
        <w:rPr>
          <w:sz w:val="28"/>
          <w:szCs w:val="28"/>
        </w:rPr>
      </w:pPr>
      <w:r>
        <w:rPr>
          <w:rFonts w:hint="eastAsia"/>
          <w:sz w:val="28"/>
          <w:szCs w:val="28"/>
        </w:rPr>
        <w:t>本次招标及由此产生的合同受中华人民共和国有关的法律法规制约和保护</w:t>
      </w:r>
      <w:r>
        <w:rPr>
          <w:sz w:val="28"/>
          <w:szCs w:val="28"/>
        </w:rPr>
        <w:t>。</w:t>
      </w:r>
    </w:p>
    <w:p>
      <w:pPr>
        <w:pStyle w:val="28"/>
        <w:rPr>
          <w:b/>
          <w:bCs/>
          <w:sz w:val="28"/>
          <w:szCs w:val="28"/>
        </w:rPr>
      </w:pPr>
      <w:bookmarkStart w:id="37" w:name="_Toc20823279"/>
      <w:bookmarkStart w:id="38" w:name="_Toc16938523"/>
      <w:bookmarkStart w:id="39" w:name="_Toc513029207"/>
      <w:bookmarkStart w:id="40" w:name="_Toc462564067"/>
      <w:r>
        <w:rPr>
          <w:rFonts w:hint="eastAsia"/>
          <w:b/>
          <w:bCs/>
          <w:sz w:val="28"/>
          <w:szCs w:val="28"/>
        </w:rPr>
        <w:t>4、投标费用</w:t>
      </w:r>
      <w:bookmarkEnd w:id="37"/>
      <w:bookmarkEnd w:id="38"/>
      <w:bookmarkEnd w:id="39"/>
      <w:bookmarkEnd w:id="40"/>
    </w:p>
    <w:p>
      <w:pPr>
        <w:pStyle w:val="28"/>
        <w:rPr>
          <w:sz w:val="28"/>
          <w:szCs w:val="28"/>
        </w:rPr>
      </w:pPr>
      <w:r>
        <w:rPr>
          <w:rFonts w:hint="eastAsia"/>
          <w:sz w:val="28"/>
          <w:szCs w:val="28"/>
        </w:rPr>
        <w:t>投标人应自行承担所有与参加投标有关的费用。</w:t>
      </w:r>
    </w:p>
    <w:p>
      <w:pPr>
        <w:pStyle w:val="28"/>
        <w:rPr>
          <w:b/>
          <w:bCs/>
          <w:sz w:val="28"/>
          <w:szCs w:val="28"/>
        </w:rPr>
      </w:pPr>
      <w:r>
        <w:rPr>
          <w:rFonts w:hint="eastAsia"/>
          <w:b/>
          <w:sz w:val="28"/>
          <w:szCs w:val="28"/>
        </w:rPr>
        <w:t>5、</w:t>
      </w:r>
      <w:r>
        <w:rPr>
          <w:rFonts w:hint="eastAsia"/>
          <w:b/>
          <w:bCs/>
          <w:sz w:val="28"/>
          <w:szCs w:val="28"/>
        </w:rPr>
        <w:t>招标文件的约束力</w:t>
      </w:r>
    </w:p>
    <w:p>
      <w:pPr>
        <w:pStyle w:val="28"/>
        <w:rPr>
          <w:sz w:val="28"/>
          <w:szCs w:val="28"/>
        </w:rPr>
      </w:pPr>
      <w:r>
        <w:rPr>
          <w:rFonts w:hint="eastAsia"/>
          <w:sz w:val="28"/>
          <w:szCs w:val="28"/>
        </w:rPr>
        <w:t>投标人一旦参加本项目采购活动，即被认为接受了本招标文件的规定和约束。</w:t>
      </w:r>
    </w:p>
    <w:p>
      <w:pPr>
        <w:pStyle w:val="28"/>
        <w:rPr>
          <w:b/>
          <w:sz w:val="28"/>
          <w:szCs w:val="28"/>
        </w:rPr>
      </w:pPr>
      <w:bookmarkStart w:id="41" w:name="_Toc20823281"/>
      <w:bookmarkStart w:id="42" w:name="_Toc513029209"/>
      <w:bookmarkStart w:id="43" w:name="_Toc120614215"/>
      <w:bookmarkStart w:id="44" w:name="_Toc16938525"/>
      <w:bookmarkStart w:id="45" w:name="_Toc517190883"/>
      <w:r>
        <w:rPr>
          <w:rFonts w:hint="eastAsia"/>
          <w:b/>
          <w:sz w:val="28"/>
          <w:szCs w:val="28"/>
        </w:rPr>
        <w:t>二、招标文件</w:t>
      </w:r>
      <w:bookmarkEnd w:id="41"/>
      <w:bookmarkEnd w:id="42"/>
      <w:bookmarkEnd w:id="43"/>
      <w:bookmarkEnd w:id="44"/>
      <w:bookmarkEnd w:id="45"/>
    </w:p>
    <w:p>
      <w:pPr>
        <w:pStyle w:val="28"/>
        <w:rPr>
          <w:b/>
          <w:bCs/>
          <w:sz w:val="28"/>
          <w:szCs w:val="28"/>
        </w:rPr>
      </w:pPr>
      <w:bookmarkStart w:id="46" w:name="_Toc20823282"/>
      <w:bookmarkStart w:id="47" w:name="_Toc16938526"/>
      <w:bookmarkStart w:id="48" w:name="_Toc513029210"/>
      <w:r>
        <w:rPr>
          <w:rFonts w:hint="eastAsia"/>
          <w:b/>
          <w:bCs/>
          <w:sz w:val="28"/>
          <w:szCs w:val="28"/>
        </w:rPr>
        <w:t>6、招标文件构成</w:t>
      </w:r>
      <w:bookmarkEnd w:id="46"/>
      <w:bookmarkEnd w:id="47"/>
      <w:bookmarkEnd w:id="48"/>
    </w:p>
    <w:p>
      <w:pPr>
        <w:pStyle w:val="28"/>
        <w:rPr>
          <w:sz w:val="28"/>
          <w:szCs w:val="28"/>
        </w:rPr>
      </w:pPr>
      <w:r>
        <w:rPr>
          <w:rFonts w:hint="eastAsia"/>
          <w:bCs/>
          <w:sz w:val="28"/>
          <w:szCs w:val="28"/>
        </w:rPr>
        <w:t>6.1</w:t>
      </w:r>
      <w:r>
        <w:rPr>
          <w:rFonts w:hint="eastAsia"/>
          <w:sz w:val="28"/>
          <w:szCs w:val="28"/>
        </w:rPr>
        <w:t xml:space="preserve"> 招标文件由以下部分组成：</w:t>
      </w:r>
    </w:p>
    <w:p>
      <w:pPr>
        <w:pStyle w:val="28"/>
        <w:rPr>
          <w:sz w:val="28"/>
          <w:szCs w:val="28"/>
        </w:rPr>
      </w:pPr>
      <w:r>
        <w:rPr>
          <w:rFonts w:hint="eastAsia"/>
          <w:sz w:val="28"/>
          <w:szCs w:val="28"/>
        </w:rPr>
        <w:t>（1）招标公告</w:t>
      </w:r>
    </w:p>
    <w:p>
      <w:pPr>
        <w:pStyle w:val="28"/>
        <w:rPr>
          <w:sz w:val="28"/>
          <w:szCs w:val="28"/>
        </w:rPr>
      </w:pPr>
      <w:r>
        <w:rPr>
          <w:rFonts w:hint="eastAsia"/>
          <w:sz w:val="28"/>
          <w:szCs w:val="28"/>
        </w:rPr>
        <w:t>（2）投标人须知</w:t>
      </w:r>
    </w:p>
    <w:p>
      <w:pPr>
        <w:pStyle w:val="28"/>
        <w:rPr>
          <w:sz w:val="28"/>
          <w:szCs w:val="28"/>
        </w:rPr>
      </w:pPr>
      <w:r>
        <w:rPr>
          <w:rFonts w:hint="eastAsia"/>
          <w:sz w:val="28"/>
          <w:szCs w:val="28"/>
        </w:rPr>
        <w:t>（3）项目需求</w:t>
      </w:r>
    </w:p>
    <w:p>
      <w:pPr>
        <w:pStyle w:val="28"/>
        <w:rPr>
          <w:sz w:val="28"/>
          <w:szCs w:val="28"/>
        </w:rPr>
      </w:pPr>
      <w:r>
        <w:rPr>
          <w:rFonts w:hint="eastAsia"/>
          <w:sz w:val="28"/>
          <w:szCs w:val="28"/>
        </w:rPr>
        <w:t>（4）评标方法与评标标准</w:t>
      </w:r>
    </w:p>
    <w:p>
      <w:pPr>
        <w:pStyle w:val="28"/>
        <w:rPr>
          <w:sz w:val="28"/>
          <w:szCs w:val="28"/>
        </w:rPr>
      </w:pPr>
      <w:r>
        <w:rPr>
          <w:rFonts w:hint="eastAsia"/>
          <w:sz w:val="28"/>
          <w:szCs w:val="28"/>
        </w:rPr>
        <w:t>（5）投标文件格式</w:t>
      </w:r>
    </w:p>
    <w:p>
      <w:pPr>
        <w:pStyle w:val="28"/>
        <w:rPr>
          <w:sz w:val="28"/>
          <w:szCs w:val="28"/>
        </w:rPr>
      </w:pPr>
      <w:r>
        <w:rPr>
          <w:rFonts w:hint="eastAsia"/>
          <w:sz w:val="28"/>
          <w:szCs w:val="28"/>
        </w:rPr>
        <w:t>请仔细检查招标文件是否齐全，如有缺漏请立即与采购人联系解决。</w:t>
      </w:r>
    </w:p>
    <w:p>
      <w:pPr>
        <w:pStyle w:val="28"/>
        <w:rPr>
          <w:sz w:val="28"/>
          <w:szCs w:val="28"/>
        </w:rPr>
      </w:pPr>
      <w:r>
        <w:rPr>
          <w:rFonts w:hint="eastAsia"/>
          <w:bCs/>
          <w:sz w:val="28"/>
          <w:szCs w:val="28"/>
        </w:rPr>
        <w:t>6.2</w:t>
      </w:r>
      <w:r>
        <w:rPr>
          <w:rFonts w:hint="eastAsia"/>
          <w:sz w:val="28"/>
          <w:szCs w:val="28"/>
        </w:rPr>
        <w:t xml:space="preserve">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8"/>
        <w:rPr>
          <w:b/>
          <w:bCs/>
          <w:sz w:val="28"/>
          <w:szCs w:val="28"/>
        </w:rPr>
      </w:pPr>
      <w:bookmarkStart w:id="49" w:name="_Toc16938527"/>
      <w:bookmarkStart w:id="50" w:name="_Toc513029211"/>
      <w:bookmarkStart w:id="51" w:name="_Toc462564070"/>
      <w:bookmarkStart w:id="52" w:name="_Toc20823283"/>
      <w:r>
        <w:rPr>
          <w:rFonts w:hint="eastAsia"/>
          <w:b/>
          <w:bCs/>
          <w:sz w:val="28"/>
          <w:szCs w:val="28"/>
        </w:rPr>
        <w:t>7、招标文件的澄清</w:t>
      </w:r>
      <w:bookmarkEnd w:id="49"/>
      <w:bookmarkEnd w:id="50"/>
      <w:bookmarkEnd w:id="51"/>
      <w:bookmarkEnd w:id="52"/>
    </w:p>
    <w:p>
      <w:pPr>
        <w:pStyle w:val="28"/>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8"/>
        <w:rPr>
          <w:b/>
          <w:bCs/>
          <w:sz w:val="28"/>
          <w:szCs w:val="28"/>
        </w:rPr>
      </w:pPr>
      <w:bookmarkStart w:id="53" w:name="_Toc16938528"/>
      <w:bookmarkStart w:id="54" w:name="_Toc513029212"/>
      <w:bookmarkStart w:id="55" w:name="_Toc462564071"/>
      <w:bookmarkStart w:id="56" w:name="_Toc20823284"/>
      <w:r>
        <w:rPr>
          <w:rFonts w:hint="eastAsia"/>
          <w:b/>
          <w:bCs/>
          <w:sz w:val="28"/>
          <w:szCs w:val="28"/>
        </w:rPr>
        <w:t>8、招标文件的修改</w:t>
      </w:r>
      <w:bookmarkEnd w:id="53"/>
      <w:bookmarkEnd w:id="54"/>
      <w:bookmarkEnd w:id="55"/>
      <w:bookmarkEnd w:id="56"/>
    </w:p>
    <w:p>
      <w:pPr>
        <w:pStyle w:val="28"/>
        <w:rPr>
          <w:sz w:val="28"/>
          <w:szCs w:val="28"/>
        </w:rPr>
      </w:pPr>
      <w:r>
        <w:rPr>
          <w:rFonts w:hint="eastAsia"/>
          <w:bCs/>
          <w:sz w:val="28"/>
          <w:szCs w:val="28"/>
        </w:rPr>
        <w:t>8.1</w:t>
      </w:r>
      <w:r>
        <w:rPr>
          <w:rFonts w:hint="eastAsia"/>
          <w:sz w:val="28"/>
          <w:szCs w:val="28"/>
        </w:rPr>
        <w:t xml:space="preserve"> 在投标截止时间前，采购人可以对招标文件进行修改。</w:t>
      </w:r>
    </w:p>
    <w:p>
      <w:pPr>
        <w:pStyle w:val="28"/>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8"/>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8"/>
        <w:rPr>
          <w:b/>
          <w:sz w:val="28"/>
          <w:szCs w:val="28"/>
        </w:rPr>
      </w:pPr>
      <w:bookmarkStart w:id="57" w:name="_Toc513029213"/>
      <w:bookmarkStart w:id="58" w:name="_Toc16938529"/>
      <w:bookmarkStart w:id="59" w:name="_Toc20823285"/>
      <w:bookmarkStart w:id="60" w:name="_Toc120614216"/>
      <w:bookmarkStart w:id="61" w:name="_Toc462564072"/>
      <w:bookmarkStart w:id="62" w:name="_Toc517190884"/>
      <w:r>
        <w:rPr>
          <w:rFonts w:hint="eastAsia"/>
          <w:b/>
          <w:sz w:val="28"/>
          <w:szCs w:val="28"/>
        </w:rPr>
        <w:t>三、投标文件的编制</w:t>
      </w:r>
      <w:bookmarkEnd w:id="57"/>
      <w:bookmarkEnd w:id="58"/>
      <w:bookmarkEnd w:id="59"/>
      <w:bookmarkEnd w:id="60"/>
      <w:bookmarkEnd w:id="61"/>
      <w:bookmarkEnd w:id="62"/>
    </w:p>
    <w:p>
      <w:pPr>
        <w:pStyle w:val="28"/>
        <w:rPr>
          <w:bCs/>
          <w:sz w:val="28"/>
          <w:szCs w:val="28"/>
        </w:rPr>
      </w:pPr>
      <w:bookmarkStart w:id="63" w:name="_Toc20823286"/>
      <w:bookmarkStart w:id="64" w:name="_Toc16938530"/>
      <w:bookmarkStart w:id="65" w:name="_Toc462564073"/>
      <w:bookmarkStart w:id="66" w:name="_Toc513029214"/>
      <w:r>
        <w:rPr>
          <w:rFonts w:hint="eastAsia"/>
          <w:b/>
          <w:bCs/>
          <w:sz w:val="28"/>
          <w:szCs w:val="28"/>
        </w:rPr>
        <w:t>9、投标文件的语言及度量衡单位</w:t>
      </w:r>
      <w:bookmarkEnd w:id="63"/>
      <w:bookmarkEnd w:id="64"/>
      <w:bookmarkEnd w:id="65"/>
      <w:bookmarkEnd w:id="66"/>
    </w:p>
    <w:p>
      <w:pPr>
        <w:pStyle w:val="28"/>
        <w:rPr>
          <w:sz w:val="28"/>
          <w:szCs w:val="28"/>
        </w:rPr>
      </w:pPr>
      <w:r>
        <w:rPr>
          <w:rFonts w:hint="eastAsia"/>
          <w:bCs/>
          <w:sz w:val="28"/>
          <w:szCs w:val="28"/>
        </w:rPr>
        <w:t>9.1</w:t>
      </w:r>
      <w:r>
        <w:rPr>
          <w:rFonts w:hint="eastAsia"/>
          <w:sz w:val="28"/>
          <w:szCs w:val="28"/>
        </w:rPr>
        <w:t xml:space="preserve"> 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8"/>
        <w:rPr>
          <w:sz w:val="28"/>
          <w:szCs w:val="28"/>
        </w:rPr>
      </w:pPr>
      <w:r>
        <w:rPr>
          <w:rFonts w:hint="eastAsia"/>
          <w:bCs/>
          <w:sz w:val="28"/>
          <w:szCs w:val="28"/>
        </w:rPr>
        <w:t>9.2</w:t>
      </w:r>
      <w:r>
        <w:rPr>
          <w:rFonts w:hint="eastAsia"/>
          <w:sz w:val="28"/>
          <w:szCs w:val="28"/>
        </w:rPr>
        <w:t xml:space="preserve"> 除技术性能另有规定外，投标文件所使用的度量衡单位，均须采用国家法定计量单位。</w:t>
      </w:r>
    </w:p>
    <w:p>
      <w:pPr>
        <w:pStyle w:val="28"/>
        <w:rPr>
          <w:b/>
          <w:bCs/>
          <w:sz w:val="28"/>
          <w:szCs w:val="28"/>
        </w:rPr>
      </w:pPr>
      <w:bookmarkStart w:id="67" w:name="_Toc16938531"/>
      <w:bookmarkStart w:id="68" w:name="_Toc20823287"/>
      <w:bookmarkStart w:id="69" w:name="_Toc462564074"/>
      <w:bookmarkStart w:id="70" w:name="_Toc513029215"/>
      <w:r>
        <w:rPr>
          <w:rFonts w:hint="eastAsia"/>
          <w:b/>
          <w:bCs/>
          <w:sz w:val="28"/>
          <w:szCs w:val="28"/>
        </w:rPr>
        <w:t>10、投标文件构成</w:t>
      </w:r>
      <w:bookmarkEnd w:id="67"/>
      <w:bookmarkEnd w:id="68"/>
      <w:bookmarkEnd w:id="69"/>
      <w:bookmarkEnd w:id="70"/>
    </w:p>
    <w:p>
      <w:pPr>
        <w:pStyle w:val="28"/>
        <w:rPr>
          <w:sz w:val="28"/>
          <w:szCs w:val="28"/>
        </w:rPr>
      </w:pPr>
      <w:r>
        <w:rPr>
          <w:rFonts w:hint="eastAsia"/>
          <w:bCs/>
          <w:sz w:val="28"/>
          <w:szCs w:val="28"/>
        </w:rPr>
        <w:t>10.1</w:t>
      </w:r>
      <w:r>
        <w:rPr>
          <w:rFonts w:hint="eastAsia"/>
          <w:sz w:val="28"/>
          <w:szCs w:val="28"/>
        </w:rPr>
        <w:t xml:space="preserve"> 投标人编写的投标文件应包括投标函、开标一览表、资信证明文件、投标配置与分项报价表、技术参数响应及偏离表、技术及售后服务承诺书等部分。</w:t>
      </w:r>
    </w:p>
    <w:p>
      <w:pPr>
        <w:pStyle w:val="28"/>
        <w:rPr>
          <w:sz w:val="28"/>
          <w:szCs w:val="28"/>
        </w:rPr>
      </w:pPr>
      <w:r>
        <w:rPr>
          <w:rFonts w:hint="eastAsia"/>
          <w:sz w:val="28"/>
          <w:szCs w:val="28"/>
        </w:rPr>
        <w:t>10.2</w:t>
      </w:r>
      <w:r>
        <w:rPr>
          <w:rFonts w:hint="eastAsia"/>
          <w:b/>
          <w:sz w:val="28"/>
          <w:szCs w:val="28"/>
        </w:rPr>
        <w:t xml:space="preserve"> </w:t>
      </w:r>
      <w:r>
        <w:rPr>
          <w:rFonts w:hint="eastAsia"/>
          <w:sz w:val="28"/>
          <w:szCs w:val="28"/>
        </w:rPr>
        <w:t>投标人应将投标文件按顺序装订成册，并编制投标文件资料目录。</w:t>
      </w:r>
    </w:p>
    <w:p>
      <w:pPr>
        <w:pStyle w:val="28"/>
        <w:rPr>
          <w:b/>
          <w:bCs/>
          <w:sz w:val="28"/>
          <w:szCs w:val="28"/>
        </w:rPr>
      </w:pPr>
      <w:bookmarkStart w:id="71" w:name="_Hlt26668975"/>
      <w:bookmarkEnd w:id="71"/>
      <w:bookmarkStart w:id="72" w:name="_Hlt26670360"/>
      <w:bookmarkEnd w:id="72"/>
      <w:bookmarkStart w:id="73" w:name="_Hlt26954838"/>
      <w:bookmarkEnd w:id="73"/>
      <w:bookmarkStart w:id="74" w:name="_Toc513029219"/>
      <w:bookmarkStart w:id="75" w:name="_Toc14577357"/>
      <w:bookmarkStart w:id="76" w:name="_Toc49090509"/>
      <w:bookmarkStart w:id="77" w:name="_Toc513029216"/>
      <w:bookmarkStart w:id="78" w:name="_Toc14577354"/>
      <w:bookmarkStart w:id="79" w:name="_Toc49090507"/>
      <w:r>
        <w:rPr>
          <w:rFonts w:hint="eastAsia"/>
          <w:b/>
          <w:bCs/>
          <w:sz w:val="28"/>
          <w:szCs w:val="28"/>
        </w:rPr>
        <w:t>11、证明投标人资格及符合招标文件规定的文件</w:t>
      </w:r>
      <w:bookmarkEnd w:id="74"/>
      <w:bookmarkEnd w:id="75"/>
      <w:bookmarkEnd w:id="76"/>
    </w:p>
    <w:p>
      <w:pPr>
        <w:pStyle w:val="28"/>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8"/>
        <w:rPr>
          <w:sz w:val="28"/>
          <w:szCs w:val="28"/>
        </w:rPr>
      </w:pPr>
      <w:r>
        <w:rPr>
          <w:rFonts w:hint="eastAsia"/>
          <w:sz w:val="28"/>
          <w:szCs w:val="28"/>
        </w:rPr>
        <w:t>11.2投标人应具有资格参加投标和中标后有能力独立履行合同的能力。</w:t>
      </w:r>
    </w:p>
    <w:p>
      <w:pPr>
        <w:pStyle w:val="28"/>
        <w:rPr>
          <w:sz w:val="28"/>
          <w:szCs w:val="28"/>
        </w:rPr>
      </w:pPr>
      <w:r>
        <w:rPr>
          <w:rFonts w:hint="eastAsia"/>
          <w:sz w:val="28"/>
          <w:szCs w:val="28"/>
        </w:rPr>
        <w:t>11.3投标人除必须具有履行合同所需提供的货物以及服务的能力外，还必须具备相应的财务、技术方面的能力。</w:t>
      </w:r>
    </w:p>
    <w:p>
      <w:pPr>
        <w:pStyle w:val="28"/>
        <w:rPr>
          <w:sz w:val="28"/>
          <w:szCs w:val="28"/>
        </w:rPr>
      </w:pPr>
      <w:r>
        <w:rPr>
          <w:rFonts w:hint="eastAsia"/>
          <w:sz w:val="28"/>
          <w:szCs w:val="28"/>
        </w:rPr>
        <w:t>11.4投标人应提交根据采购项目要求提供的证明产品质量合格以及符合招标文件规定的证明文件。</w:t>
      </w:r>
    </w:p>
    <w:p>
      <w:pPr>
        <w:pStyle w:val="28"/>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8"/>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8"/>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8"/>
        <w:rPr>
          <w:bCs/>
          <w:sz w:val="28"/>
          <w:szCs w:val="28"/>
        </w:rPr>
      </w:pPr>
      <w:r>
        <w:rPr>
          <w:rFonts w:hint="eastAsia"/>
          <w:sz w:val="28"/>
          <w:szCs w:val="28"/>
        </w:rPr>
        <w:t>12.3</w:t>
      </w:r>
      <w:r>
        <w:rPr>
          <w:rFonts w:hint="eastAsia"/>
          <w:bCs/>
          <w:sz w:val="28"/>
          <w:szCs w:val="28"/>
        </w:rPr>
        <w:t>有关费用处理</w:t>
      </w:r>
    </w:p>
    <w:p>
      <w:pPr>
        <w:pStyle w:val="28"/>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8"/>
        <w:rPr>
          <w:bCs/>
          <w:sz w:val="28"/>
          <w:szCs w:val="28"/>
        </w:rPr>
      </w:pPr>
      <w:r>
        <w:rPr>
          <w:rFonts w:hint="eastAsia"/>
          <w:sz w:val="28"/>
          <w:szCs w:val="28"/>
        </w:rPr>
        <w:t>12.4</w:t>
      </w:r>
      <w:r>
        <w:rPr>
          <w:rFonts w:hint="eastAsia"/>
          <w:bCs/>
          <w:sz w:val="28"/>
          <w:szCs w:val="28"/>
        </w:rPr>
        <w:t>其它费用处理</w:t>
      </w:r>
    </w:p>
    <w:p>
      <w:pPr>
        <w:pStyle w:val="28"/>
        <w:rPr>
          <w:bCs/>
          <w:sz w:val="28"/>
          <w:szCs w:val="28"/>
        </w:rPr>
      </w:pPr>
      <w:r>
        <w:rPr>
          <w:rFonts w:hint="eastAsia"/>
          <w:bCs/>
          <w:sz w:val="28"/>
          <w:szCs w:val="28"/>
        </w:rPr>
        <w:t>招标文件未列明，而投标人认为必需的费用也需列入报价。</w:t>
      </w:r>
    </w:p>
    <w:p>
      <w:pPr>
        <w:pStyle w:val="28"/>
        <w:rPr>
          <w:sz w:val="28"/>
          <w:szCs w:val="28"/>
        </w:rPr>
      </w:pPr>
      <w:r>
        <w:rPr>
          <w:rFonts w:hint="eastAsia"/>
          <w:sz w:val="28"/>
          <w:szCs w:val="28"/>
        </w:rPr>
        <w:t>12.5</w:t>
      </w:r>
      <w:r>
        <w:rPr>
          <w:rFonts w:hint="eastAsia"/>
          <w:bCs/>
          <w:sz w:val="28"/>
          <w:szCs w:val="28"/>
        </w:rPr>
        <w:t xml:space="preserve"> 投标配置与分项报价表上的价格应按下列方式分开填写</w:t>
      </w:r>
      <w:r>
        <w:rPr>
          <w:rFonts w:hint="eastAsia"/>
          <w:sz w:val="28"/>
          <w:szCs w:val="28"/>
        </w:rPr>
        <w:t>：</w:t>
      </w:r>
    </w:p>
    <w:p>
      <w:pPr>
        <w:pStyle w:val="28"/>
        <w:rPr>
          <w:bCs/>
          <w:sz w:val="28"/>
          <w:szCs w:val="28"/>
        </w:rPr>
      </w:pPr>
      <w:bookmarkStart w:id="86" w:name="_Hlt26670403"/>
      <w:bookmarkEnd w:id="86"/>
      <w:bookmarkStart w:id="87" w:name="_Hlt26954842"/>
      <w:bookmarkEnd w:id="87"/>
      <w:bookmarkStart w:id="88" w:name="_Hlt26670425"/>
      <w:bookmarkEnd w:id="88"/>
      <w:bookmarkStart w:id="89" w:name="_Hlt26954844"/>
      <w:bookmarkEnd w:id="89"/>
      <w:bookmarkStart w:id="90" w:name="_Hlt2666898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8"/>
        <w:rPr>
          <w:bCs/>
          <w:sz w:val="28"/>
          <w:szCs w:val="28"/>
        </w:rPr>
      </w:pPr>
      <w:r>
        <w:rPr>
          <w:rFonts w:hint="eastAsia"/>
          <w:sz w:val="28"/>
          <w:szCs w:val="28"/>
        </w:rPr>
        <w:t>（2）</w:t>
      </w:r>
      <w:r>
        <w:rPr>
          <w:rFonts w:hint="eastAsia"/>
          <w:bCs/>
          <w:sz w:val="28"/>
          <w:szCs w:val="28"/>
        </w:rPr>
        <w:t>项目单价按投标配置及分项报价表中要求填报。</w:t>
      </w:r>
    </w:p>
    <w:p>
      <w:pPr>
        <w:pStyle w:val="28"/>
        <w:rPr>
          <w:b/>
          <w:bCs/>
          <w:sz w:val="28"/>
          <w:szCs w:val="28"/>
        </w:rPr>
      </w:pPr>
      <w:bookmarkStart w:id="91" w:name="_Hlt26954846"/>
      <w:bookmarkEnd w:id="91"/>
      <w:bookmarkStart w:id="92" w:name="_Hlt26670486"/>
      <w:bookmarkEnd w:id="92"/>
      <w:bookmarkStart w:id="93" w:name="_Hlt26954731"/>
      <w:bookmarkEnd w:id="93"/>
      <w:bookmarkStart w:id="94" w:name="_Hlt26954848"/>
      <w:bookmarkEnd w:id="94"/>
      <w:bookmarkStart w:id="95" w:name="_Hlt26670482"/>
      <w:bookmarkEnd w:id="95"/>
      <w:r>
        <w:rPr>
          <w:rFonts w:hint="eastAsia"/>
          <w:b/>
          <w:bCs/>
          <w:sz w:val="28"/>
          <w:szCs w:val="28"/>
        </w:rPr>
        <w:t>13、技术参数响应及偏离表和投标货物说明</w:t>
      </w:r>
    </w:p>
    <w:p>
      <w:pPr>
        <w:pStyle w:val="28"/>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cs="宋体"/>
          <w:sz w:val="28"/>
          <w:szCs w:val="28"/>
          <w:lang w:val="zh-CN"/>
        </w:rPr>
        <w:t xml:space="preserve"> </w:t>
      </w:r>
      <w:r>
        <w:rPr>
          <w:rFonts w:hint="eastAsia" w:cs="宋体"/>
          <w:sz w:val="28"/>
          <w:szCs w:val="28"/>
          <w:lang w:val="zh-CN"/>
        </w:rPr>
        <w:t>对招标文件中的技术与商务条款要求逐项作出响应或偏离，并说明原因；</w:t>
      </w:r>
    </w:p>
    <w:p>
      <w:pPr>
        <w:pStyle w:val="28"/>
        <w:rPr>
          <w:rFonts w:cs="宋体"/>
          <w:sz w:val="28"/>
          <w:szCs w:val="28"/>
          <w:lang w:val="zh-CN"/>
        </w:rPr>
      </w:pPr>
      <w:r>
        <w:rPr>
          <w:rFonts w:hint="eastAsia" w:cs="宋体"/>
          <w:sz w:val="28"/>
          <w:szCs w:val="28"/>
          <w:lang w:val="zh-CN"/>
        </w:rPr>
        <w:t>13.2 详细阐述所投货物的主要组成部分、功能设计、实现思路及关键技术；</w:t>
      </w:r>
    </w:p>
    <w:p>
      <w:pPr>
        <w:pStyle w:val="28"/>
        <w:rPr>
          <w:rFonts w:cs="宋体"/>
          <w:sz w:val="28"/>
          <w:szCs w:val="28"/>
          <w:lang w:val="zh-CN"/>
        </w:rPr>
      </w:pPr>
      <w:r>
        <w:rPr>
          <w:rFonts w:hint="eastAsia" w:cs="宋体"/>
          <w:sz w:val="28"/>
          <w:szCs w:val="28"/>
          <w:lang w:val="zh-CN"/>
        </w:rPr>
        <w:t>13.3 投标人认为需要的其他技术文件或说明。</w:t>
      </w:r>
    </w:p>
    <w:p>
      <w:pPr>
        <w:pStyle w:val="28"/>
        <w:rPr>
          <w:b/>
          <w:bCs/>
          <w:sz w:val="28"/>
          <w:szCs w:val="28"/>
        </w:rPr>
      </w:pPr>
      <w:r>
        <w:rPr>
          <w:rFonts w:hint="eastAsia"/>
          <w:b/>
          <w:bCs/>
          <w:sz w:val="28"/>
          <w:szCs w:val="28"/>
        </w:rPr>
        <w:t>14、服务承诺及售后服务机构、人员的情况介绍</w:t>
      </w:r>
    </w:p>
    <w:p>
      <w:pPr>
        <w:pStyle w:val="28"/>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8"/>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8"/>
        <w:rPr>
          <w:rFonts w:cs="宋体"/>
          <w:sz w:val="28"/>
          <w:szCs w:val="28"/>
          <w:lang w:val="zh-CN"/>
        </w:rPr>
      </w:pPr>
      <w:r>
        <w:rPr>
          <w:rFonts w:hint="eastAsia" w:cs="宋体"/>
          <w:sz w:val="28"/>
          <w:szCs w:val="28"/>
          <w:lang w:val="zh-CN"/>
        </w:rPr>
        <w:t>14.3 培训计划；</w:t>
      </w:r>
    </w:p>
    <w:p>
      <w:pPr>
        <w:pStyle w:val="28"/>
        <w:rPr>
          <w:rFonts w:cs="宋体"/>
          <w:sz w:val="28"/>
          <w:szCs w:val="28"/>
          <w:lang w:val="zh-CN"/>
        </w:rPr>
      </w:pPr>
      <w:r>
        <w:rPr>
          <w:rFonts w:hint="eastAsia" w:cs="宋体"/>
          <w:sz w:val="28"/>
          <w:szCs w:val="28"/>
          <w:lang w:val="zh-CN"/>
        </w:rPr>
        <w:t>14.4 提供参加本项目类似案例简介；</w:t>
      </w:r>
    </w:p>
    <w:p>
      <w:pPr>
        <w:pStyle w:val="28"/>
        <w:rPr>
          <w:b/>
          <w:bCs/>
          <w:sz w:val="28"/>
          <w:szCs w:val="28"/>
        </w:rPr>
      </w:pPr>
      <w:bookmarkStart w:id="96" w:name="_Toc14577359"/>
      <w:bookmarkStart w:id="97" w:name="_Toc49090510"/>
      <w:r>
        <w:rPr>
          <w:rFonts w:hint="eastAsia"/>
          <w:b/>
          <w:bCs/>
          <w:sz w:val="28"/>
          <w:szCs w:val="28"/>
        </w:rPr>
        <w:t>15、投标函和开标一览表</w:t>
      </w:r>
    </w:p>
    <w:p>
      <w:pPr>
        <w:pStyle w:val="28"/>
        <w:rPr>
          <w:sz w:val="28"/>
          <w:szCs w:val="28"/>
        </w:rPr>
      </w:pPr>
      <w:r>
        <w:rPr>
          <w:rFonts w:hint="eastAsia"/>
          <w:bCs/>
          <w:sz w:val="28"/>
          <w:szCs w:val="28"/>
        </w:rPr>
        <w:t>15.1</w:t>
      </w:r>
      <w:r>
        <w:rPr>
          <w:rFonts w:hint="eastAsia"/>
          <w:sz w:val="28"/>
          <w:szCs w:val="28"/>
        </w:rPr>
        <w:t xml:space="preserve"> 投标人应按照招标文件中提供的格式完整、正确填写投标函、开标一览表。</w:t>
      </w:r>
    </w:p>
    <w:p>
      <w:pPr>
        <w:pStyle w:val="28"/>
        <w:rPr>
          <w:sz w:val="28"/>
          <w:szCs w:val="28"/>
        </w:rPr>
      </w:pPr>
      <w:r>
        <w:rPr>
          <w:rFonts w:hint="eastAsia"/>
          <w:bCs/>
          <w:sz w:val="28"/>
          <w:szCs w:val="28"/>
        </w:rPr>
        <w:t>15.2</w:t>
      </w:r>
      <w:r>
        <w:rPr>
          <w:rFonts w:hint="eastAsia"/>
          <w:sz w:val="28"/>
          <w:szCs w:val="28"/>
        </w:rPr>
        <w:t xml:space="preserve"> </w:t>
      </w:r>
      <w:r>
        <w:rPr>
          <w:rFonts w:hint="eastAsia"/>
          <w:bCs/>
          <w:sz w:val="28"/>
          <w:szCs w:val="28"/>
        </w:rPr>
        <w:t>开标一览表中的价格应与投标文件中投标配置与分项报价表中的价格一致，如不一致，评标时按开标一览表中价格为准</w:t>
      </w:r>
      <w:r>
        <w:rPr>
          <w:rFonts w:hint="eastAsia"/>
          <w:b/>
          <w:bCs/>
          <w:sz w:val="28"/>
          <w:szCs w:val="28"/>
        </w:rPr>
        <w:t>。</w:t>
      </w:r>
    </w:p>
    <w:p>
      <w:pPr>
        <w:pStyle w:val="28"/>
        <w:rPr>
          <w:b/>
          <w:i/>
          <w:color w:val="FF0000"/>
          <w:sz w:val="28"/>
          <w:szCs w:val="28"/>
          <w:u w:val="single"/>
        </w:rPr>
      </w:pPr>
      <w:r>
        <w:rPr>
          <w:rFonts w:hint="eastAsia"/>
          <w:bCs/>
          <w:color w:val="FF0000"/>
          <w:sz w:val="28"/>
          <w:szCs w:val="28"/>
        </w:rPr>
        <w:t>15.3</w:t>
      </w:r>
      <w:r>
        <w:rPr>
          <w:rFonts w:hint="eastAsia"/>
          <w:color w:val="FF0000"/>
          <w:sz w:val="28"/>
          <w:szCs w:val="28"/>
        </w:rPr>
        <w:t xml:space="preserve"> </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8"/>
        <w:rPr>
          <w:b/>
          <w:bCs/>
          <w:sz w:val="28"/>
          <w:szCs w:val="28"/>
        </w:rPr>
      </w:pPr>
      <w:r>
        <w:rPr>
          <w:rFonts w:hint="eastAsia"/>
          <w:b/>
          <w:bCs/>
          <w:sz w:val="28"/>
          <w:szCs w:val="28"/>
        </w:rPr>
        <w:t>16、投标保证金</w:t>
      </w:r>
      <w:bookmarkEnd w:id="96"/>
      <w:bookmarkEnd w:id="97"/>
    </w:p>
    <w:p>
      <w:pPr>
        <w:pStyle w:val="28"/>
        <w:rPr>
          <w:bCs/>
          <w:sz w:val="28"/>
          <w:szCs w:val="28"/>
        </w:rPr>
      </w:pPr>
      <w:r>
        <w:rPr>
          <w:rFonts w:hint="eastAsia"/>
          <w:sz w:val="28"/>
          <w:szCs w:val="28"/>
        </w:rPr>
        <w:t>16.1</w:t>
      </w:r>
      <w:r>
        <w:rPr>
          <w:rFonts w:hint="eastAsia"/>
          <w:bCs/>
          <w:sz w:val="28"/>
          <w:szCs w:val="28"/>
        </w:rPr>
        <w:t>在开标时，未按要求提交投标保证金的投标无效。</w:t>
      </w:r>
    </w:p>
    <w:p>
      <w:pPr>
        <w:pStyle w:val="28"/>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8"/>
        <w:rPr>
          <w:bCs/>
          <w:sz w:val="28"/>
          <w:szCs w:val="28"/>
        </w:rPr>
      </w:pPr>
      <w:r>
        <w:rPr>
          <w:rFonts w:hint="eastAsia"/>
          <w:sz w:val="28"/>
          <w:szCs w:val="28"/>
        </w:rPr>
        <w:t>16.3</w:t>
      </w:r>
      <w:r>
        <w:rPr>
          <w:rFonts w:hint="eastAsia"/>
          <w:bCs/>
          <w:sz w:val="28"/>
          <w:szCs w:val="28"/>
        </w:rPr>
        <w:t xml:space="preserve"> 下列任何情况发生时，投标保证金将不予退还：</w:t>
      </w:r>
    </w:p>
    <w:p>
      <w:pPr>
        <w:pStyle w:val="28"/>
        <w:rPr>
          <w:bCs/>
          <w:sz w:val="28"/>
          <w:szCs w:val="28"/>
        </w:rPr>
      </w:pPr>
      <w:r>
        <w:rPr>
          <w:rFonts w:hint="eastAsia"/>
          <w:bCs/>
          <w:sz w:val="28"/>
          <w:szCs w:val="28"/>
        </w:rPr>
        <w:t>（1）投标人在投标有效期内撤回其投标；</w:t>
      </w:r>
    </w:p>
    <w:p>
      <w:pPr>
        <w:pStyle w:val="28"/>
        <w:rPr>
          <w:bCs/>
          <w:sz w:val="28"/>
          <w:szCs w:val="28"/>
        </w:rPr>
      </w:pPr>
      <w:r>
        <w:rPr>
          <w:rFonts w:hint="eastAsia"/>
          <w:bCs/>
          <w:sz w:val="28"/>
          <w:szCs w:val="28"/>
        </w:rPr>
        <w:t>（2）投标人提供的有关资料、资格证明文件被确认是不真实的；</w:t>
      </w:r>
    </w:p>
    <w:p>
      <w:pPr>
        <w:pStyle w:val="28"/>
        <w:rPr>
          <w:sz w:val="28"/>
          <w:szCs w:val="28"/>
        </w:rPr>
      </w:pPr>
      <w:r>
        <w:rPr>
          <w:rFonts w:hint="eastAsia"/>
          <w:sz w:val="28"/>
          <w:szCs w:val="28"/>
        </w:rPr>
        <w:t>（3）投标人之间被证实有串通（统一哄抬价格）、欺诈行为；</w:t>
      </w:r>
    </w:p>
    <w:p>
      <w:pPr>
        <w:pStyle w:val="28"/>
        <w:rPr>
          <w:sz w:val="28"/>
          <w:szCs w:val="28"/>
        </w:rPr>
      </w:pPr>
      <w:r>
        <w:rPr>
          <w:rFonts w:hint="eastAsia"/>
          <w:sz w:val="28"/>
          <w:szCs w:val="28"/>
        </w:rPr>
        <w:t>（4）投标人被证明有妨碍其他人公平竞争、损害采购人或者其他投标人合法权益的；</w:t>
      </w:r>
    </w:p>
    <w:p>
      <w:pPr>
        <w:pStyle w:val="28"/>
        <w:rPr>
          <w:b/>
          <w:bCs/>
          <w:sz w:val="28"/>
          <w:szCs w:val="28"/>
        </w:rPr>
      </w:pPr>
      <w:bookmarkStart w:id="98" w:name="_Hlt26670489"/>
      <w:bookmarkEnd w:id="98"/>
      <w:bookmarkStart w:id="99" w:name="_Hlt26954734"/>
      <w:bookmarkEnd w:id="99"/>
      <w:bookmarkStart w:id="100" w:name="_Hlt26954850"/>
      <w:bookmarkEnd w:id="100"/>
      <w:bookmarkStart w:id="101" w:name="_Hlt26954739"/>
      <w:bookmarkEnd w:id="101"/>
      <w:bookmarkStart w:id="102" w:name="_Hlt26954852"/>
      <w:bookmarkEnd w:id="102"/>
      <w:bookmarkStart w:id="103" w:name="_Toc14577361"/>
      <w:bookmarkStart w:id="104" w:name="_Toc49090512"/>
      <w:r>
        <w:rPr>
          <w:rFonts w:hint="eastAsia"/>
          <w:b/>
          <w:bCs/>
          <w:sz w:val="28"/>
          <w:szCs w:val="28"/>
        </w:rPr>
        <w:t>17、投标文件份数和签署</w:t>
      </w:r>
      <w:bookmarkEnd w:id="103"/>
      <w:bookmarkEnd w:id="104"/>
    </w:p>
    <w:p>
      <w:pPr>
        <w:pStyle w:val="28"/>
        <w:rPr>
          <w:bCs/>
          <w:sz w:val="28"/>
          <w:szCs w:val="28"/>
        </w:rPr>
      </w:pPr>
      <w:r>
        <w:rPr>
          <w:rFonts w:hint="eastAsia"/>
          <w:sz w:val="28"/>
          <w:szCs w:val="28"/>
        </w:rPr>
        <w:t>17.1</w:t>
      </w:r>
      <w:r>
        <w:rPr>
          <w:rFonts w:hint="eastAsia"/>
          <w:b/>
          <w:sz w:val="28"/>
          <w:szCs w:val="28"/>
        </w:rPr>
        <w:t xml:space="preserve"> </w:t>
      </w:r>
      <w:r>
        <w:rPr>
          <w:rFonts w:hint="eastAsia"/>
          <w:bCs/>
          <w:sz w:val="28"/>
          <w:szCs w:val="28"/>
        </w:rPr>
        <w:t>投标人应严格按照招标公告要求的份数准备投标文件，每份投标文件须清楚地标明“正本”或“副本”字样。一旦正本和副本不符，以正本为准。</w:t>
      </w:r>
    </w:p>
    <w:p>
      <w:pPr>
        <w:pStyle w:val="28"/>
        <w:rPr>
          <w:sz w:val="28"/>
          <w:szCs w:val="28"/>
        </w:rPr>
      </w:pPr>
      <w:r>
        <w:rPr>
          <w:rFonts w:hint="eastAsia"/>
          <w:sz w:val="28"/>
          <w:szCs w:val="28"/>
        </w:rPr>
        <w:t>17.2投标文件的正本须经法定代表人或授权代表签署和加盖投标人公章。</w:t>
      </w:r>
    </w:p>
    <w:p>
      <w:pPr>
        <w:pStyle w:val="28"/>
        <w:rPr>
          <w:b/>
          <w:sz w:val="28"/>
          <w:szCs w:val="28"/>
        </w:rPr>
      </w:pPr>
      <w:bookmarkStart w:id="105" w:name="_Toc120614217"/>
      <w:bookmarkStart w:id="106" w:name="_Toc513029224"/>
      <w:bookmarkStart w:id="107" w:name="_Toc20823296"/>
      <w:bookmarkStart w:id="108" w:name="_Toc16938540"/>
      <w:bookmarkStart w:id="109" w:name="_Toc517190885"/>
      <w:r>
        <w:rPr>
          <w:rFonts w:hint="eastAsia"/>
          <w:b/>
          <w:sz w:val="28"/>
          <w:szCs w:val="28"/>
        </w:rPr>
        <w:t>四、投标文件的递交</w:t>
      </w:r>
      <w:bookmarkEnd w:id="105"/>
      <w:bookmarkEnd w:id="106"/>
      <w:bookmarkEnd w:id="107"/>
      <w:bookmarkEnd w:id="108"/>
      <w:bookmarkEnd w:id="109"/>
    </w:p>
    <w:p>
      <w:pPr>
        <w:pStyle w:val="28"/>
        <w:rPr>
          <w:b/>
          <w:bCs/>
          <w:sz w:val="28"/>
          <w:szCs w:val="28"/>
        </w:rPr>
      </w:pPr>
      <w:bookmarkStart w:id="110" w:name="_Toc20823297"/>
      <w:bookmarkStart w:id="111" w:name="_Toc513029225"/>
      <w:bookmarkStart w:id="112" w:name="_Toc462564084"/>
      <w:bookmarkStart w:id="113" w:name="_Toc16938541"/>
      <w:r>
        <w:rPr>
          <w:rFonts w:hint="eastAsia"/>
          <w:b/>
          <w:bCs/>
          <w:sz w:val="28"/>
          <w:szCs w:val="28"/>
        </w:rPr>
        <w:t>18、投标文件的密封和标记</w:t>
      </w:r>
      <w:bookmarkEnd w:id="110"/>
      <w:bookmarkEnd w:id="111"/>
      <w:bookmarkEnd w:id="112"/>
      <w:bookmarkEnd w:id="113"/>
    </w:p>
    <w:p>
      <w:pPr>
        <w:pStyle w:val="28"/>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8"/>
        <w:rPr>
          <w:bCs/>
          <w:sz w:val="28"/>
          <w:szCs w:val="28"/>
        </w:rPr>
      </w:pPr>
      <w:r>
        <w:rPr>
          <w:rFonts w:hint="eastAsia"/>
          <w:sz w:val="28"/>
          <w:szCs w:val="28"/>
        </w:rPr>
        <w:t>18.2</w:t>
      </w:r>
      <w:r>
        <w:rPr>
          <w:rFonts w:hint="eastAsia"/>
          <w:bCs/>
          <w:sz w:val="28"/>
          <w:szCs w:val="28"/>
        </w:rPr>
        <w:t xml:space="preserve"> 密封的投标文件应：</w:t>
      </w:r>
    </w:p>
    <w:p>
      <w:pPr>
        <w:pStyle w:val="28"/>
        <w:rPr>
          <w:bCs/>
          <w:sz w:val="28"/>
          <w:szCs w:val="28"/>
        </w:rPr>
      </w:pPr>
      <w:r>
        <w:rPr>
          <w:rFonts w:hint="eastAsia"/>
          <w:bCs/>
          <w:sz w:val="28"/>
          <w:szCs w:val="28"/>
        </w:rPr>
        <w:t>（1）注明投标人名称，如因标注不清而产生的后果由投标人自负。</w:t>
      </w:r>
    </w:p>
    <w:p>
      <w:pPr>
        <w:pStyle w:val="28"/>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8"/>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8"/>
        <w:rPr>
          <w:b/>
          <w:bCs/>
          <w:sz w:val="28"/>
          <w:szCs w:val="28"/>
        </w:rPr>
      </w:pPr>
      <w:bookmarkStart w:id="114" w:name="_Toc513029226"/>
      <w:bookmarkStart w:id="115" w:name="_Toc16938542"/>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8"/>
        <w:rPr>
          <w:bCs/>
          <w:sz w:val="28"/>
          <w:szCs w:val="28"/>
        </w:rPr>
      </w:pPr>
      <w:r>
        <w:rPr>
          <w:rFonts w:hint="eastAsia"/>
          <w:sz w:val="28"/>
          <w:szCs w:val="28"/>
        </w:rPr>
        <w:t>19.1</w:t>
      </w:r>
      <w:r>
        <w:rPr>
          <w:rFonts w:hint="eastAsia"/>
          <w:bCs/>
          <w:sz w:val="28"/>
          <w:szCs w:val="28"/>
        </w:rPr>
        <w:t xml:space="preserve"> 采购人收到投标文件的时间不得迟于招标公告中规定的截止时间。</w:t>
      </w:r>
    </w:p>
    <w:p>
      <w:pPr>
        <w:pStyle w:val="28"/>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8"/>
        <w:rPr>
          <w:b/>
          <w:bCs/>
          <w:sz w:val="28"/>
          <w:szCs w:val="28"/>
        </w:rPr>
      </w:pPr>
      <w:bookmarkStart w:id="117" w:name="_Toc20823299"/>
      <w:bookmarkStart w:id="118" w:name="_Toc513029227"/>
      <w:bookmarkStart w:id="119" w:name="_Toc16938543"/>
      <w:r>
        <w:rPr>
          <w:rFonts w:hint="eastAsia"/>
          <w:b/>
          <w:bCs/>
          <w:sz w:val="28"/>
          <w:szCs w:val="28"/>
        </w:rPr>
        <w:t>20、投标文件</w:t>
      </w:r>
      <w:bookmarkEnd w:id="117"/>
      <w:bookmarkEnd w:id="118"/>
      <w:bookmarkEnd w:id="119"/>
      <w:r>
        <w:rPr>
          <w:rFonts w:hint="eastAsia"/>
          <w:b/>
          <w:bCs/>
          <w:sz w:val="28"/>
          <w:szCs w:val="28"/>
        </w:rPr>
        <w:t>的递交</w:t>
      </w:r>
    </w:p>
    <w:p>
      <w:pPr>
        <w:pStyle w:val="28"/>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8"/>
        <w:rPr>
          <w:bCs/>
          <w:sz w:val="28"/>
          <w:szCs w:val="28"/>
        </w:rPr>
      </w:pPr>
      <w:r>
        <w:rPr>
          <w:rFonts w:hint="eastAsia"/>
          <w:bCs/>
          <w:sz w:val="28"/>
          <w:szCs w:val="28"/>
        </w:rPr>
        <w:t>20.2未按照招标文件要求的格式编制的投标文件，后果由投标人承担。</w:t>
      </w:r>
    </w:p>
    <w:p>
      <w:pPr>
        <w:pStyle w:val="28"/>
        <w:rPr>
          <w:b/>
          <w:bCs/>
          <w:sz w:val="28"/>
          <w:szCs w:val="28"/>
        </w:rPr>
      </w:pPr>
      <w:bookmarkStart w:id="120" w:name="_Toc513029228"/>
      <w:bookmarkStart w:id="121" w:name="_Toc16938544"/>
      <w:bookmarkStart w:id="122" w:name="_Toc20823300"/>
      <w:r>
        <w:rPr>
          <w:rFonts w:hint="eastAsia"/>
          <w:b/>
          <w:bCs/>
          <w:sz w:val="28"/>
          <w:szCs w:val="28"/>
        </w:rPr>
        <w:t>21、投标文件的修改和撤回</w:t>
      </w:r>
      <w:bookmarkEnd w:id="120"/>
      <w:bookmarkEnd w:id="121"/>
      <w:bookmarkEnd w:id="122"/>
    </w:p>
    <w:p>
      <w:pPr>
        <w:pStyle w:val="28"/>
        <w:rPr>
          <w:sz w:val="28"/>
          <w:szCs w:val="28"/>
        </w:rPr>
      </w:pPr>
      <w:r>
        <w:rPr>
          <w:rFonts w:hint="eastAsia"/>
          <w:sz w:val="28"/>
          <w:szCs w:val="28"/>
        </w:rPr>
        <w:t>21.1</w:t>
      </w:r>
      <w:r>
        <w:rPr>
          <w:rFonts w:hint="eastAsia"/>
          <w:bCs/>
          <w:sz w:val="28"/>
          <w:szCs w:val="28"/>
        </w:rPr>
        <w:t xml:space="preserve"> 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8"/>
        <w:rPr>
          <w:sz w:val="28"/>
          <w:szCs w:val="28"/>
        </w:rPr>
      </w:pPr>
      <w:r>
        <w:rPr>
          <w:rFonts w:hint="eastAsia"/>
          <w:sz w:val="28"/>
          <w:szCs w:val="28"/>
        </w:rPr>
        <w:t>21.2</w:t>
      </w:r>
      <w:r>
        <w:rPr>
          <w:rFonts w:hint="eastAsia"/>
          <w:bCs/>
          <w:sz w:val="28"/>
          <w:szCs w:val="28"/>
        </w:rPr>
        <w:t xml:space="preserve"> 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8"/>
        <w:rPr>
          <w:bCs/>
          <w:sz w:val="28"/>
          <w:szCs w:val="28"/>
        </w:rPr>
      </w:pPr>
      <w:r>
        <w:rPr>
          <w:rFonts w:hint="eastAsia"/>
          <w:sz w:val="28"/>
          <w:szCs w:val="28"/>
        </w:rPr>
        <w:t>21.3</w:t>
      </w:r>
      <w:r>
        <w:rPr>
          <w:rFonts w:hint="eastAsia"/>
          <w:bCs/>
          <w:sz w:val="28"/>
          <w:szCs w:val="28"/>
        </w:rPr>
        <w:t xml:space="preserve"> 在投标截止时间之后，投标人不得对其投标文件作任何修改。</w:t>
      </w:r>
    </w:p>
    <w:p>
      <w:pPr>
        <w:pStyle w:val="28"/>
        <w:rPr>
          <w:bCs/>
          <w:sz w:val="28"/>
          <w:szCs w:val="28"/>
        </w:rPr>
      </w:pPr>
      <w:r>
        <w:rPr>
          <w:rFonts w:hint="eastAsia"/>
          <w:sz w:val="28"/>
          <w:szCs w:val="28"/>
        </w:rPr>
        <w:t>21.4</w:t>
      </w:r>
      <w:r>
        <w:rPr>
          <w:rFonts w:hint="eastAsia"/>
          <w:bCs/>
          <w:sz w:val="28"/>
          <w:szCs w:val="28"/>
        </w:rPr>
        <w:t xml:space="preserve"> 在投标截止时间至招标文件中规定的投标有效期满之间的这段时间内，投标人不得撤回其投标，否则其投标保证金将不予退还。</w:t>
      </w:r>
    </w:p>
    <w:p>
      <w:pPr>
        <w:pStyle w:val="28"/>
        <w:rPr>
          <w:b/>
          <w:sz w:val="28"/>
          <w:szCs w:val="28"/>
        </w:rPr>
      </w:pPr>
      <w:bookmarkStart w:id="123" w:name="_Toc513029229"/>
      <w:bookmarkStart w:id="124" w:name="_Toc16938545"/>
      <w:bookmarkStart w:id="125" w:name="_Toc20823301"/>
      <w:bookmarkStart w:id="126" w:name="_Toc120614218"/>
      <w:bookmarkStart w:id="127" w:name="_Toc517190886"/>
      <w:r>
        <w:rPr>
          <w:rFonts w:hint="eastAsia"/>
          <w:b/>
          <w:sz w:val="28"/>
          <w:szCs w:val="28"/>
        </w:rPr>
        <w:t>五、开标与评标</w:t>
      </w:r>
      <w:bookmarkEnd w:id="123"/>
      <w:bookmarkEnd w:id="124"/>
      <w:bookmarkEnd w:id="125"/>
      <w:bookmarkEnd w:id="126"/>
      <w:bookmarkEnd w:id="127"/>
    </w:p>
    <w:p>
      <w:pPr>
        <w:pStyle w:val="28"/>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8"/>
        <w:rPr>
          <w:sz w:val="28"/>
          <w:szCs w:val="28"/>
        </w:rPr>
      </w:pPr>
      <w:r>
        <w:rPr>
          <w:rFonts w:hint="eastAsia"/>
          <w:sz w:val="28"/>
          <w:szCs w:val="28"/>
        </w:rPr>
        <w:t>22.1</w:t>
      </w:r>
      <w:r>
        <w:rPr>
          <w:rFonts w:hint="eastAsia"/>
          <w:bCs/>
          <w:sz w:val="28"/>
          <w:szCs w:val="28"/>
        </w:rPr>
        <w:t xml:space="preserve"> 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8"/>
        <w:rPr>
          <w:bCs/>
          <w:sz w:val="28"/>
          <w:szCs w:val="28"/>
        </w:rPr>
      </w:pPr>
      <w:r>
        <w:rPr>
          <w:rFonts w:hint="eastAsia"/>
          <w:sz w:val="28"/>
          <w:szCs w:val="28"/>
        </w:rPr>
        <w:t>22.2</w:t>
      </w:r>
      <w:r>
        <w:rPr>
          <w:rFonts w:hint="eastAsia"/>
          <w:b/>
          <w:sz w:val="28"/>
          <w:szCs w:val="28"/>
        </w:rPr>
        <w:t xml:space="preserve"> </w:t>
      </w:r>
      <w:r>
        <w:rPr>
          <w:rFonts w:hint="eastAsia"/>
          <w:bCs/>
          <w:sz w:val="28"/>
          <w:szCs w:val="28"/>
        </w:rPr>
        <w:t>按照规定同意撤回的投标将不予开封。</w:t>
      </w:r>
    </w:p>
    <w:p>
      <w:pPr>
        <w:pStyle w:val="28"/>
        <w:rPr>
          <w:sz w:val="28"/>
          <w:szCs w:val="28"/>
        </w:rPr>
      </w:pPr>
      <w:r>
        <w:rPr>
          <w:sz w:val="28"/>
          <w:szCs w:val="28"/>
        </w:rPr>
        <w:t>2</w:t>
      </w:r>
      <w:r>
        <w:rPr>
          <w:rFonts w:hint="eastAsia"/>
          <w:sz w:val="28"/>
          <w:szCs w:val="28"/>
        </w:rPr>
        <w:t>2.3 开标时由投标人推选的代表查验投标文件密封情况，确认无误后，采购人当众拆封宣读每份投标文件中“开标一览表”的内容，未列入开标一览表的内容一律不在开标时宣读。</w:t>
      </w:r>
    </w:p>
    <w:p>
      <w:pPr>
        <w:pStyle w:val="28"/>
        <w:rPr>
          <w:sz w:val="28"/>
          <w:szCs w:val="28"/>
        </w:rPr>
      </w:pPr>
      <w:r>
        <w:rPr>
          <w:sz w:val="28"/>
          <w:szCs w:val="28"/>
        </w:rPr>
        <w:t>2</w:t>
      </w:r>
      <w:r>
        <w:rPr>
          <w:rFonts w:hint="eastAsia"/>
          <w:sz w:val="28"/>
          <w:szCs w:val="28"/>
        </w:rPr>
        <w:t>2.4 采购人将指定专人负责开标记录并存档备查，各投标人需仔细核对开标记录相关内容并签字确认。</w:t>
      </w:r>
    </w:p>
    <w:p>
      <w:pPr>
        <w:pStyle w:val="28"/>
        <w:rPr>
          <w:sz w:val="28"/>
          <w:szCs w:val="28"/>
        </w:rPr>
      </w:pPr>
      <w:r>
        <w:rPr>
          <w:sz w:val="28"/>
          <w:szCs w:val="28"/>
        </w:rPr>
        <w:t>2</w:t>
      </w:r>
      <w:r>
        <w:rPr>
          <w:rFonts w:hint="eastAsia"/>
          <w:sz w:val="28"/>
          <w:szCs w:val="28"/>
        </w:rPr>
        <w:t>2.5 投标人在报价时不允许采用选择性报价，否则将被视为无效投标。</w:t>
      </w:r>
    </w:p>
    <w:p>
      <w:pPr>
        <w:pStyle w:val="28"/>
        <w:rPr>
          <w:bCs/>
          <w:sz w:val="28"/>
          <w:szCs w:val="28"/>
        </w:rPr>
      </w:pPr>
      <w:r>
        <w:rPr>
          <w:rFonts w:hint="eastAsia"/>
          <w:bCs/>
          <w:sz w:val="28"/>
          <w:szCs w:val="28"/>
        </w:rPr>
        <w:t>22.6 投标截止时间结束后参加投标的供应商不足三家的，不得开标。</w:t>
      </w:r>
    </w:p>
    <w:p>
      <w:pPr>
        <w:pStyle w:val="28"/>
        <w:rPr>
          <w:b/>
          <w:bCs/>
          <w:sz w:val="28"/>
          <w:szCs w:val="28"/>
        </w:rPr>
      </w:pPr>
      <w:bookmarkStart w:id="131" w:name="_Toc513029231"/>
      <w:bookmarkStart w:id="132" w:name="_Toc20823303"/>
      <w:bookmarkStart w:id="133" w:name="_Toc16938547"/>
      <w:r>
        <w:rPr>
          <w:rFonts w:hint="eastAsia"/>
          <w:b/>
          <w:bCs/>
          <w:sz w:val="28"/>
          <w:szCs w:val="28"/>
        </w:rPr>
        <w:t>23、评标</w:t>
      </w:r>
    </w:p>
    <w:p>
      <w:pPr>
        <w:pStyle w:val="28"/>
        <w:rPr>
          <w:b/>
          <w:sz w:val="28"/>
          <w:szCs w:val="28"/>
        </w:rPr>
      </w:pPr>
      <w:r>
        <w:rPr>
          <w:rFonts w:hint="eastAsia"/>
          <w:sz w:val="28"/>
          <w:szCs w:val="28"/>
        </w:rPr>
        <w:t>23.1</w:t>
      </w:r>
      <w:r>
        <w:rPr>
          <w:rFonts w:hint="eastAsia"/>
          <w:b/>
          <w:sz w:val="28"/>
          <w:szCs w:val="28"/>
        </w:rPr>
        <w:t xml:space="preserve"> </w:t>
      </w:r>
      <w:r>
        <w:rPr>
          <w:rFonts w:hint="eastAsia"/>
          <w:sz w:val="28"/>
          <w:szCs w:val="28"/>
        </w:rPr>
        <w:t>开标后，采购人将组织评标委员会（以下简称评委会）进行评标。</w:t>
      </w:r>
    </w:p>
    <w:p>
      <w:pPr>
        <w:pStyle w:val="28"/>
        <w:ind w:left="330" w:leftChars="150" w:firstLine="140" w:firstLineChars="50"/>
        <w:rPr>
          <w:sz w:val="28"/>
          <w:szCs w:val="28"/>
        </w:rPr>
      </w:pPr>
      <w:r>
        <w:rPr>
          <w:rFonts w:hint="eastAsia"/>
          <w:sz w:val="28"/>
          <w:szCs w:val="28"/>
        </w:rPr>
        <w:t>23.2评委会独立工作，负责评审所有投标文件并确定中标侯选人。</w:t>
      </w:r>
    </w:p>
    <w:p>
      <w:pPr>
        <w:pStyle w:val="28"/>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8"/>
        <w:rPr>
          <w:b/>
          <w:bCs/>
          <w:sz w:val="28"/>
          <w:szCs w:val="28"/>
        </w:rPr>
      </w:pPr>
      <w:bookmarkStart w:id="134" w:name="_Toc513029232"/>
      <w:bookmarkStart w:id="135" w:name="_Toc16938548"/>
      <w:bookmarkStart w:id="136" w:name="_Toc20823304"/>
      <w:r>
        <w:rPr>
          <w:rFonts w:hint="eastAsia"/>
          <w:b/>
          <w:bCs/>
          <w:sz w:val="28"/>
          <w:szCs w:val="28"/>
        </w:rPr>
        <w:t>24．投标的澄清</w:t>
      </w:r>
      <w:bookmarkEnd w:id="134"/>
      <w:bookmarkEnd w:id="135"/>
      <w:bookmarkEnd w:id="136"/>
    </w:p>
    <w:p>
      <w:pPr>
        <w:pStyle w:val="28"/>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8"/>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8"/>
        <w:rPr>
          <w:sz w:val="28"/>
          <w:szCs w:val="28"/>
        </w:rPr>
      </w:pPr>
      <w:r>
        <w:rPr>
          <w:rFonts w:hint="eastAsia"/>
          <w:sz w:val="28"/>
          <w:szCs w:val="28"/>
        </w:rPr>
        <w:t>24.3 接到评委会澄清要求的投标人如未按规定做出澄清，后果由投标人自行承担。</w:t>
      </w:r>
    </w:p>
    <w:p>
      <w:pPr>
        <w:pStyle w:val="28"/>
        <w:rPr>
          <w:b/>
          <w:bCs/>
          <w:sz w:val="28"/>
          <w:szCs w:val="28"/>
        </w:rPr>
      </w:pPr>
      <w:bookmarkStart w:id="137" w:name="_Toc513029234"/>
      <w:bookmarkStart w:id="138" w:name="_Toc16938550"/>
      <w:bookmarkStart w:id="139" w:name="_Toc20823306"/>
      <w:r>
        <w:rPr>
          <w:rFonts w:hint="eastAsia"/>
          <w:b/>
          <w:bCs/>
          <w:sz w:val="28"/>
          <w:szCs w:val="28"/>
        </w:rPr>
        <w:t>25、</w:t>
      </w:r>
      <w:bookmarkEnd w:id="137"/>
      <w:bookmarkEnd w:id="138"/>
      <w:bookmarkEnd w:id="139"/>
      <w:r>
        <w:rPr>
          <w:rFonts w:hint="eastAsia"/>
          <w:b/>
          <w:bCs/>
          <w:sz w:val="28"/>
          <w:szCs w:val="28"/>
        </w:rPr>
        <w:t>无效投标条款和废标条款</w:t>
      </w:r>
    </w:p>
    <w:p>
      <w:pPr>
        <w:pStyle w:val="28"/>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8"/>
        <w:rPr>
          <w:bCs/>
          <w:sz w:val="28"/>
          <w:szCs w:val="28"/>
        </w:rPr>
      </w:pPr>
      <w:r>
        <w:rPr>
          <w:rFonts w:hint="eastAsia"/>
          <w:bCs/>
          <w:sz w:val="28"/>
          <w:szCs w:val="28"/>
        </w:rPr>
        <w:t>（1）未按要求交纳投标保证金的。</w:t>
      </w:r>
    </w:p>
    <w:p>
      <w:pPr>
        <w:pStyle w:val="28"/>
        <w:rPr>
          <w:bCs/>
          <w:sz w:val="28"/>
          <w:szCs w:val="28"/>
        </w:rPr>
      </w:pPr>
      <w:r>
        <w:rPr>
          <w:rFonts w:hint="eastAsia"/>
          <w:bCs/>
          <w:sz w:val="28"/>
          <w:szCs w:val="28"/>
        </w:rPr>
        <w:t>（2）未按照招标文件规定要求密封、签署、盖章的。</w:t>
      </w:r>
    </w:p>
    <w:p>
      <w:pPr>
        <w:pStyle w:val="28"/>
        <w:rPr>
          <w:bCs/>
          <w:sz w:val="28"/>
          <w:szCs w:val="28"/>
        </w:rPr>
      </w:pPr>
      <w:r>
        <w:rPr>
          <w:rFonts w:hint="eastAsia"/>
          <w:bCs/>
          <w:sz w:val="28"/>
          <w:szCs w:val="28"/>
        </w:rPr>
        <w:t>（3）投标人在报价时采用选择性报价的。</w:t>
      </w:r>
    </w:p>
    <w:p>
      <w:pPr>
        <w:pStyle w:val="28"/>
        <w:rPr>
          <w:bCs/>
          <w:sz w:val="28"/>
          <w:szCs w:val="28"/>
        </w:rPr>
      </w:pPr>
      <w:r>
        <w:rPr>
          <w:rFonts w:hint="eastAsia"/>
          <w:bCs/>
          <w:sz w:val="28"/>
          <w:szCs w:val="28"/>
        </w:rPr>
        <w:t>（4）投标人不具备招标文件中规定资格要求的。</w:t>
      </w:r>
    </w:p>
    <w:p>
      <w:pPr>
        <w:pStyle w:val="28"/>
        <w:rPr>
          <w:bCs/>
          <w:sz w:val="28"/>
          <w:szCs w:val="28"/>
        </w:rPr>
      </w:pPr>
      <w:r>
        <w:rPr>
          <w:rFonts w:hint="eastAsia"/>
          <w:bCs/>
          <w:sz w:val="28"/>
          <w:szCs w:val="28"/>
        </w:rPr>
        <w:t>（5）投标人的报价超过了采购预算或最高限价的。</w:t>
      </w:r>
    </w:p>
    <w:p>
      <w:pPr>
        <w:pStyle w:val="28"/>
        <w:rPr>
          <w:bCs/>
          <w:i/>
          <w:sz w:val="28"/>
          <w:szCs w:val="28"/>
          <w:u w:val="single"/>
        </w:rPr>
      </w:pPr>
      <w:r>
        <w:rPr>
          <w:rFonts w:hint="eastAsia"/>
          <w:bCs/>
          <w:sz w:val="28"/>
          <w:szCs w:val="28"/>
        </w:rPr>
        <w:t>（6）未通过符合性检查的。</w:t>
      </w:r>
    </w:p>
    <w:p>
      <w:pPr>
        <w:pStyle w:val="28"/>
        <w:rPr>
          <w:bCs/>
          <w:i/>
          <w:sz w:val="28"/>
          <w:szCs w:val="28"/>
          <w:u w:val="single"/>
        </w:rPr>
      </w:pPr>
      <w:r>
        <w:rPr>
          <w:rFonts w:hint="eastAsia"/>
          <w:bCs/>
          <w:sz w:val="28"/>
          <w:szCs w:val="28"/>
        </w:rPr>
        <w:t>（7）不符合招标文件中规定的其他实质性要求和条件的。</w:t>
      </w:r>
    </w:p>
    <w:p>
      <w:pPr>
        <w:pStyle w:val="28"/>
        <w:rPr>
          <w:bCs/>
          <w:sz w:val="28"/>
          <w:szCs w:val="28"/>
        </w:rPr>
      </w:pPr>
      <w:r>
        <w:rPr>
          <w:rFonts w:hint="eastAsia"/>
          <w:bCs/>
          <w:sz w:val="28"/>
          <w:szCs w:val="28"/>
        </w:rPr>
        <w:t>（8） 投标人被 “信用中国”网站（www.creditchina.gov.cn）列入失信被执行人或重大税收违法案件当事人名单或政府采购严重失信行为记录名单。</w:t>
      </w:r>
    </w:p>
    <w:p>
      <w:pPr>
        <w:pStyle w:val="28"/>
        <w:rPr>
          <w:bCs/>
          <w:sz w:val="28"/>
          <w:szCs w:val="28"/>
        </w:rPr>
      </w:pPr>
      <w:r>
        <w:rPr>
          <w:rFonts w:hint="eastAsia"/>
          <w:bCs/>
          <w:sz w:val="28"/>
          <w:szCs w:val="28"/>
        </w:rPr>
        <w:t>（9）  投标文件含有采购人不能接受的附加条件的。</w:t>
      </w:r>
    </w:p>
    <w:p>
      <w:pPr>
        <w:pStyle w:val="28"/>
        <w:rPr>
          <w:bCs/>
          <w:sz w:val="28"/>
          <w:szCs w:val="28"/>
        </w:rPr>
      </w:pPr>
      <w:r>
        <w:rPr>
          <w:rFonts w:hint="eastAsia"/>
          <w:bCs/>
          <w:sz w:val="28"/>
          <w:szCs w:val="28"/>
        </w:rPr>
        <w:t>（10）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8"/>
        <w:rPr>
          <w:bCs/>
          <w:sz w:val="28"/>
          <w:szCs w:val="28"/>
        </w:rPr>
      </w:pPr>
      <w:r>
        <w:rPr>
          <w:rFonts w:hint="eastAsia"/>
          <w:bCs/>
          <w:sz w:val="28"/>
          <w:szCs w:val="28"/>
        </w:rPr>
        <w:t>（11）其他法律、法规及本招标文件规定的属无效投标的情形。</w:t>
      </w:r>
    </w:p>
    <w:p>
      <w:pPr>
        <w:pStyle w:val="28"/>
        <w:rPr>
          <w:bCs/>
          <w:sz w:val="28"/>
          <w:szCs w:val="28"/>
        </w:rPr>
      </w:pPr>
      <w:r>
        <w:rPr>
          <w:rFonts w:hint="eastAsia"/>
          <w:bCs/>
          <w:sz w:val="28"/>
          <w:szCs w:val="28"/>
        </w:rPr>
        <w:t>25.2废标条款：</w:t>
      </w:r>
    </w:p>
    <w:p>
      <w:pPr>
        <w:pStyle w:val="28"/>
        <w:rPr>
          <w:bCs/>
          <w:sz w:val="28"/>
          <w:szCs w:val="28"/>
        </w:rPr>
      </w:pPr>
      <w:r>
        <w:rPr>
          <w:rFonts w:hint="eastAsia"/>
          <w:bCs/>
          <w:sz w:val="28"/>
          <w:szCs w:val="28"/>
        </w:rPr>
        <w:t>（1）符合专业条件的供应商或者对招标文件作实质响应的供应商不足三家的。</w:t>
      </w:r>
    </w:p>
    <w:p>
      <w:pPr>
        <w:pStyle w:val="28"/>
        <w:rPr>
          <w:bCs/>
          <w:sz w:val="28"/>
          <w:szCs w:val="28"/>
        </w:rPr>
      </w:pPr>
      <w:r>
        <w:rPr>
          <w:rFonts w:hint="eastAsia"/>
          <w:bCs/>
          <w:sz w:val="28"/>
          <w:szCs w:val="28"/>
        </w:rPr>
        <w:t>（2）出现影响采购公正的违法、违规行为的。</w:t>
      </w:r>
    </w:p>
    <w:p>
      <w:pPr>
        <w:pStyle w:val="28"/>
        <w:rPr>
          <w:bCs/>
          <w:sz w:val="28"/>
          <w:szCs w:val="28"/>
        </w:rPr>
      </w:pPr>
      <w:r>
        <w:rPr>
          <w:rFonts w:hint="eastAsia"/>
          <w:bCs/>
          <w:sz w:val="28"/>
          <w:szCs w:val="28"/>
        </w:rPr>
        <w:t>（3）因重大变故，采购任务取消的。</w:t>
      </w:r>
    </w:p>
    <w:p>
      <w:pPr>
        <w:pStyle w:val="28"/>
        <w:rPr>
          <w:bCs/>
          <w:sz w:val="28"/>
          <w:szCs w:val="28"/>
        </w:rPr>
      </w:pPr>
      <w:r>
        <w:rPr>
          <w:rFonts w:hint="eastAsia"/>
          <w:bCs/>
          <w:sz w:val="28"/>
          <w:szCs w:val="28"/>
        </w:rPr>
        <w:t>（4）评标委员会认定招标文件存在歧义、重大缺陷导致评审工作无法进行的。</w:t>
      </w:r>
    </w:p>
    <w:p>
      <w:pPr>
        <w:pStyle w:val="28"/>
        <w:rPr>
          <w:b/>
          <w:sz w:val="28"/>
          <w:szCs w:val="28"/>
        </w:rPr>
      </w:pPr>
      <w:bookmarkStart w:id="143" w:name="_Toc120614219"/>
      <w:bookmarkStart w:id="144" w:name="_Toc517190887"/>
      <w:r>
        <w:rPr>
          <w:rFonts w:hint="eastAsia"/>
          <w:b/>
          <w:sz w:val="28"/>
          <w:szCs w:val="28"/>
        </w:rPr>
        <w:t>六、</w:t>
      </w:r>
      <w:bookmarkEnd w:id="140"/>
      <w:bookmarkEnd w:id="141"/>
      <w:bookmarkEnd w:id="142"/>
      <w:r>
        <w:rPr>
          <w:rFonts w:hint="eastAsia"/>
          <w:b/>
          <w:sz w:val="28"/>
          <w:szCs w:val="28"/>
        </w:rPr>
        <w:t>定标</w:t>
      </w:r>
      <w:bookmarkEnd w:id="143"/>
      <w:bookmarkEnd w:id="144"/>
    </w:p>
    <w:p>
      <w:pPr>
        <w:pStyle w:val="28"/>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8"/>
        <w:rPr>
          <w:bCs/>
          <w:sz w:val="28"/>
          <w:szCs w:val="28"/>
        </w:rPr>
      </w:pPr>
      <w:r>
        <w:rPr>
          <w:rFonts w:hint="eastAsia"/>
          <w:bCs/>
          <w:sz w:val="28"/>
          <w:szCs w:val="28"/>
        </w:rPr>
        <w:t>26.1评委会根据本招标文件规定评分办法与评分标准确定中标人；</w:t>
      </w:r>
    </w:p>
    <w:p>
      <w:pPr>
        <w:pStyle w:val="28"/>
        <w:rPr>
          <w:sz w:val="28"/>
          <w:szCs w:val="28"/>
        </w:rPr>
      </w:pPr>
      <w:r>
        <w:rPr>
          <w:rFonts w:hint="eastAsia"/>
          <w:bCs/>
          <w:sz w:val="28"/>
          <w:szCs w:val="28"/>
        </w:rPr>
        <w:t xml:space="preserve">26.2 </w:t>
      </w:r>
      <w:r>
        <w:rPr>
          <w:rFonts w:hint="eastAsia"/>
          <w:sz w:val="28"/>
          <w:szCs w:val="28"/>
        </w:rPr>
        <w:t>采购人将在“南京医科大学校园网”发布中标公告，公告期限为1个工作日。</w:t>
      </w:r>
    </w:p>
    <w:p>
      <w:pPr>
        <w:pStyle w:val="28"/>
        <w:rPr>
          <w:sz w:val="28"/>
          <w:szCs w:val="28"/>
        </w:rPr>
      </w:pPr>
      <w:r>
        <w:rPr>
          <w:rFonts w:hint="eastAsia"/>
          <w:sz w:val="28"/>
          <w:szCs w:val="28"/>
        </w:rPr>
        <w:t>2</w:t>
      </w:r>
      <w:bookmarkStart w:id="148" w:name="OLE_LINK7"/>
      <w:bookmarkStart w:id="149" w:name="OLE_LINK8"/>
      <w:bookmarkStart w:id="150" w:name="OLE_LINK3"/>
      <w:bookmarkStart w:id="151" w:name="OLE_LINK4"/>
      <w:bookmarkStart w:id="152" w:name="OLE_LINK5"/>
      <w:bookmarkStart w:id="153" w:name="OLE_LINK6"/>
      <w:r>
        <w:rPr>
          <w:rFonts w:hint="eastAsia"/>
          <w:sz w:val="28"/>
          <w:szCs w:val="28"/>
        </w:rPr>
        <w:t>6.3</w:t>
      </w:r>
      <w:bookmarkEnd w:id="148"/>
      <w:bookmarkEnd w:id="149"/>
      <w:bookmarkEnd w:id="150"/>
      <w:bookmarkEnd w:id="151"/>
      <w:bookmarkEnd w:id="152"/>
      <w:bookmarkEnd w:id="153"/>
      <w:r>
        <w:rPr>
          <w:rFonts w:hint="eastAsia"/>
          <w:sz w:val="28"/>
          <w:szCs w:val="28"/>
        </w:rPr>
        <w:t xml:space="preserve"> 若有充分证据证明，中标人出现下列情况之一的，一经查实，将被取消中标资格：</w:t>
      </w:r>
    </w:p>
    <w:p>
      <w:pPr>
        <w:pStyle w:val="28"/>
        <w:rPr>
          <w:sz w:val="28"/>
          <w:szCs w:val="28"/>
        </w:rPr>
      </w:pPr>
      <w:r>
        <w:rPr>
          <w:rFonts w:hint="eastAsia"/>
          <w:sz w:val="28"/>
          <w:szCs w:val="28"/>
        </w:rPr>
        <w:t>（1）提供虚假材料谋取中标的；</w:t>
      </w:r>
    </w:p>
    <w:p>
      <w:pPr>
        <w:pStyle w:val="28"/>
        <w:rPr>
          <w:sz w:val="28"/>
          <w:szCs w:val="28"/>
        </w:rPr>
      </w:pPr>
      <w:r>
        <w:rPr>
          <w:rFonts w:hint="eastAsia"/>
          <w:sz w:val="28"/>
          <w:szCs w:val="28"/>
        </w:rPr>
        <w:t>（2）向采购人、评审专家行贿或者提供其他不正当利益的；</w:t>
      </w:r>
    </w:p>
    <w:p>
      <w:pPr>
        <w:pStyle w:val="28"/>
        <w:rPr>
          <w:sz w:val="28"/>
          <w:szCs w:val="28"/>
        </w:rPr>
      </w:pPr>
      <w:r>
        <w:rPr>
          <w:rFonts w:hint="eastAsia"/>
          <w:sz w:val="28"/>
          <w:szCs w:val="28"/>
        </w:rPr>
        <w:t>（3）恶意竞争，投标总报价明显低于其自身合理成本且又无法提供证明的；</w:t>
      </w:r>
    </w:p>
    <w:p>
      <w:pPr>
        <w:pStyle w:val="28"/>
        <w:rPr>
          <w:sz w:val="28"/>
          <w:szCs w:val="28"/>
        </w:rPr>
      </w:pPr>
      <w:r>
        <w:rPr>
          <w:rFonts w:hint="eastAsia"/>
          <w:sz w:val="28"/>
          <w:szCs w:val="28"/>
        </w:rPr>
        <w:t>（4）属于本文件规定的无效条件，但在评标过程中又未被评委会发现的；</w:t>
      </w:r>
    </w:p>
    <w:p>
      <w:pPr>
        <w:pStyle w:val="28"/>
        <w:rPr>
          <w:sz w:val="28"/>
          <w:szCs w:val="28"/>
        </w:rPr>
      </w:pPr>
      <w:r>
        <w:rPr>
          <w:rFonts w:hint="eastAsia"/>
          <w:sz w:val="28"/>
          <w:szCs w:val="28"/>
        </w:rPr>
        <w:t>（5）与采购人或者其他供应商恶意串通的；</w:t>
      </w:r>
    </w:p>
    <w:p>
      <w:pPr>
        <w:pStyle w:val="28"/>
        <w:rPr>
          <w:sz w:val="28"/>
          <w:szCs w:val="28"/>
        </w:rPr>
      </w:pPr>
      <w:r>
        <w:rPr>
          <w:rFonts w:hint="eastAsia"/>
          <w:sz w:val="28"/>
          <w:szCs w:val="28"/>
        </w:rPr>
        <w:t>（6）采取不正当手段诋毁、排挤其他供应商的；</w:t>
      </w:r>
    </w:p>
    <w:p>
      <w:pPr>
        <w:pStyle w:val="28"/>
        <w:rPr>
          <w:sz w:val="28"/>
          <w:szCs w:val="28"/>
        </w:rPr>
      </w:pPr>
      <w:r>
        <w:rPr>
          <w:rFonts w:hint="eastAsia"/>
          <w:sz w:val="28"/>
          <w:szCs w:val="28"/>
        </w:rPr>
        <w:t>（7）不符合法律、法规的规定的。</w:t>
      </w:r>
      <w:bookmarkStart w:id="154" w:name="_Toc200451960"/>
    </w:p>
    <w:p>
      <w:pPr>
        <w:pStyle w:val="28"/>
        <w:rPr>
          <w:sz w:val="28"/>
          <w:szCs w:val="28"/>
        </w:rPr>
      </w:pPr>
      <w:r>
        <w:rPr>
          <w:rFonts w:hint="eastAsia"/>
          <w:sz w:val="28"/>
          <w:szCs w:val="28"/>
        </w:rPr>
        <w:t xml:space="preserve">26.4 </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8"/>
        <w:rPr>
          <w:sz w:val="28"/>
          <w:szCs w:val="28"/>
        </w:rPr>
      </w:pPr>
      <w:r>
        <w:rPr>
          <w:rFonts w:hint="eastAsia"/>
          <w:sz w:val="28"/>
          <w:szCs w:val="28"/>
        </w:rPr>
        <w:t>（1）不同投标人的投标文件由同一单位或者个人编制；</w:t>
      </w:r>
    </w:p>
    <w:p>
      <w:pPr>
        <w:pStyle w:val="28"/>
        <w:rPr>
          <w:sz w:val="28"/>
          <w:szCs w:val="28"/>
        </w:rPr>
      </w:pPr>
      <w:r>
        <w:rPr>
          <w:rFonts w:hint="eastAsia"/>
          <w:sz w:val="28"/>
          <w:szCs w:val="28"/>
        </w:rPr>
        <w:t>（2）不同投标人委托同一单位或者个人办理投标事宜；</w:t>
      </w:r>
    </w:p>
    <w:p>
      <w:pPr>
        <w:pStyle w:val="28"/>
        <w:rPr>
          <w:sz w:val="28"/>
          <w:szCs w:val="28"/>
        </w:rPr>
      </w:pPr>
      <w:r>
        <w:rPr>
          <w:rFonts w:hint="eastAsia"/>
          <w:sz w:val="28"/>
          <w:szCs w:val="28"/>
        </w:rPr>
        <w:t>（3） 不同投标人的投标文件载明的项目管理成员或者联系人员为同一人；</w:t>
      </w:r>
    </w:p>
    <w:p>
      <w:pPr>
        <w:pStyle w:val="28"/>
        <w:rPr>
          <w:sz w:val="28"/>
          <w:szCs w:val="28"/>
        </w:rPr>
      </w:pPr>
      <w:r>
        <w:rPr>
          <w:rFonts w:hint="eastAsia"/>
          <w:sz w:val="28"/>
          <w:szCs w:val="28"/>
        </w:rPr>
        <w:t>（4）不同投标人的投标文件异常一致或者投标报价呈规律性差异；</w:t>
      </w:r>
    </w:p>
    <w:p>
      <w:pPr>
        <w:pStyle w:val="28"/>
        <w:rPr>
          <w:sz w:val="28"/>
          <w:szCs w:val="28"/>
        </w:rPr>
      </w:pPr>
      <w:r>
        <w:rPr>
          <w:rFonts w:hint="eastAsia"/>
          <w:sz w:val="28"/>
          <w:szCs w:val="28"/>
        </w:rPr>
        <w:t>（5）不同投标人的投标文件相互混装；</w:t>
      </w:r>
    </w:p>
    <w:p>
      <w:pPr>
        <w:pStyle w:val="28"/>
        <w:rPr>
          <w:sz w:val="28"/>
          <w:szCs w:val="28"/>
        </w:rPr>
      </w:pPr>
      <w:r>
        <w:rPr>
          <w:rFonts w:hint="eastAsia"/>
          <w:sz w:val="28"/>
          <w:szCs w:val="28"/>
        </w:rPr>
        <w:t>（6）不同投标人的投标保证金从同一单位或者个人的账户转出。</w:t>
      </w:r>
    </w:p>
    <w:p>
      <w:pPr>
        <w:pStyle w:val="28"/>
        <w:rPr>
          <w:b/>
          <w:sz w:val="28"/>
          <w:szCs w:val="28"/>
        </w:rPr>
      </w:pPr>
      <w:r>
        <w:rPr>
          <w:rFonts w:hint="eastAsia"/>
          <w:b/>
          <w:sz w:val="28"/>
          <w:szCs w:val="28"/>
        </w:rPr>
        <w:t>27、质疑处理</w:t>
      </w:r>
      <w:bookmarkEnd w:id="154"/>
    </w:p>
    <w:p>
      <w:pPr>
        <w:pStyle w:val="28"/>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8"/>
        <w:rPr>
          <w:b/>
          <w:sz w:val="28"/>
          <w:szCs w:val="28"/>
        </w:rPr>
      </w:pPr>
      <w:r>
        <w:rPr>
          <w:rFonts w:hint="eastAsia"/>
          <w:b/>
          <w:sz w:val="28"/>
          <w:szCs w:val="28"/>
        </w:rPr>
        <w:t>28、中标通知书</w:t>
      </w:r>
    </w:p>
    <w:p>
      <w:pPr>
        <w:pStyle w:val="28"/>
        <w:rPr>
          <w:sz w:val="28"/>
          <w:szCs w:val="28"/>
        </w:rPr>
      </w:pPr>
      <w:r>
        <w:rPr>
          <w:rFonts w:hint="eastAsia"/>
          <w:sz w:val="28"/>
          <w:szCs w:val="28"/>
        </w:rPr>
        <w:t>28.1</w:t>
      </w:r>
      <w:r>
        <w:rPr>
          <w:rFonts w:hint="eastAsia"/>
          <w:b/>
          <w:sz w:val="28"/>
          <w:szCs w:val="28"/>
        </w:rPr>
        <w:t xml:space="preserve"> </w:t>
      </w:r>
      <w:r>
        <w:rPr>
          <w:rFonts w:hint="eastAsia"/>
          <w:sz w:val="28"/>
          <w:szCs w:val="28"/>
        </w:rPr>
        <w:t>中标结果确定后，采购人将向中标供应商发出中标通知书。</w:t>
      </w:r>
    </w:p>
    <w:p>
      <w:pPr>
        <w:pStyle w:val="28"/>
        <w:rPr>
          <w:sz w:val="28"/>
          <w:szCs w:val="28"/>
        </w:rPr>
      </w:pPr>
      <w:r>
        <w:rPr>
          <w:rFonts w:hint="eastAsia"/>
          <w:sz w:val="28"/>
          <w:szCs w:val="28"/>
        </w:rPr>
        <w:t>28.2 中标通知书将是合同的一个组成部分。对采购人和中标供应商均具有法律效力。中标通知书发出后，采购人改变中标结果的，或者中标供应商放弃中标项目的，应当依法承担法律责任。</w:t>
      </w:r>
    </w:p>
    <w:p>
      <w:pPr>
        <w:pStyle w:val="28"/>
        <w:rPr>
          <w:b/>
          <w:sz w:val="28"/>
          <w:szCs w:val="28"/>
        </w:rPr>
      </w:pPr>
      <w:bookmarkStart w:id="155" w:name="_Toc517190888"/>
      <w:bookmarkStart w:id="156" w:name="_Toc120614220"/>
      <w:bookmarkStart w:id="157" w:name="_Toc20823308"/>
      <w:bookmarkStart w:id="158" w:name="_Toc513029236"/>
      <w:bookmarkStart w:id="159" w:name="_Toc16938552"/>
      <w:r>
        <w:rPr>
          <w:rFonts w:hint="eastAsia"/>
          <w:b/>
          <w:sz w:val="28"/>
          <w:szCs w:val="28"/>
        </w:rPr>
        <w:t>七、授予合同</w:t>
      </w:r>
      <w:bookmarkEnd w:id="155"/>
      <w:bookmarkEnd w:id="156"/>
    </w:p>
    <w:bookmarkEnd w:id="157"/>
    <w:bookmarkEnd w:id="158"/>
    <w:bookmarkEnd w:id="159"/>
    <w:p>
      <w:pPr>
        <w:pStyle w:val="28"/>
        <w:rPr>
          <w:b/>
          <w:sz w:val="28"/>
          <w:szCs w:val="28"/>
        </w:rPr>
      </w:pPr>
      <w:bookmarkStart w:id="160" w:name="_Toc513029237"/>
      <w:bookmarkStart w:id="161" w:name="_Toc20823309"/>
      <w:bookmarkStart w:id="162" w:name="_Toc16938553"/>
      <w:r>
        <w:rPr>
          <w:rFonts w:hint="eastAsia"/>
          <w:b/>
          <w:sz w:val="28"/>
          <w:szCs w:val="28"/>
        </w:rPr>
        <w:t>29. 签订合同</w:t>
      </w:r>
    </w:p>
    <w:p>
      <w:pPr>
        <w:pStyle w:val="28"/>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8"/>
        <w:rPr>
          <w:sz w:val="28"/>
          <w:szCs w:val="28"/>
        </w:rPr>
      </w:pPr>
      <w:r>
        <w:rPr>
          <w:rFonts w:hint="eastAsia"/>
          <w:sz w:val="28"/>
          <w:szCs w:val="28"/>
        </w:rPr>
        <w:t>29.2</w:t>
      </w:r>
      <w:r>
        <w:rPr>
          <w:rFonts w:hint="eastAsia"/>
          <w:b/>
          <w:sz w:val="28"/>
          <w:szCs w:val="28"/>
        </w:rPr>
        <w:t xml:space="preserve"> </w:t>
      </w:r>
      <w:r>
        <w:rPr>
          <w:rFonts w:hint="eastAsia"/>
          <w:sz w:val="28"/>
          <w:szCs w:val="28"/>
        </w:rPr>
        <w:t>招标文件、中标人的投标文件及招标过程中有关澄清、承诺文件均应作为合同附件。</w:t>
      </w:r>
    </w:p>
    <w:p>
      <w:pPr>
        <w:pStyle w:val="28"/>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8"/>
        <w:rPr>
          <w:b/>
          <w:sz w:val="28"/>
          <w:szCs w:val="28"/>
        </w:rPr>
      </w:pPr>
      <w:bookmarkStart w:id="163" w:name="_Toc517190889"/>
      <w:r>
        <w:rPr>
          <w:rFonts w:hint="eastAsia"/>
          <w:b/>
          <w:sz w:val="28"/>
          <w:szCs w:val="28"/>
        </w:rPr>
        <w:t>八、其他</w:t>
      </w:r>
      <w:bookmarkEnd w:id="163"/>
    </w:p>
    <w:p>
      <w:pPr>
        <w:pStyle w:val="28"/>
        <w:rPr>
          <w:b/>
          <w:sz w:val="28"/>
          <w:szCs w:val="28"/>
        </w:rPr>
      </w:pPr>
      <w:r>
        <w:rPr>
          <w:rFonts w:hint="eastAsia"/>
          <w:b/>
          <w:sz w:val="28"/>
          <w:szCs w:val="28"/>
        </w:rPr>
        <w:t>30、样品</w:t>
      </w:r>
    </w:p>
    <w:p>
      <w:pPr>
        <w:pStyle w:val="28"/>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8"/>
        <w:rPr>
          <w:rFonts w:asciiTheme="minorEastAsia" w:hAnsiTheme="minorEastAsia" w:eastAsiaTheme="minorEastAsia"/>
          <w:b/>
          <w:sz w:val="44"/>
          <w:szCs w:val="44"/>
        </w:rPr>
      </w:pPr>
      <w:r>
        <w:rPr>
          <w:rFonts w:hint="eastAsia"/>
          <w:bCs/>
          <w:sz w:val="28"/>
          <w:szCs w:val="28"/>
        </w:rPr>
        <w:t>未中标人自通知之日起一个月内未撤回样品，采购人可自行处理，后果自负。</w:t>
      </w:r>
    </w:p>
    <w:p>
      <w:pPr>
        <w:pStyle w:val="3"/>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4"/>
        <w:spacing w:line="360" w:lineRule="auto"/>
        <w:ind w:firstLine="440"/>
        <w:rPr>
          <w:rFonts w:ascii="Times New Roman" w:hAnsi="宋体" w:cs="宋体"/>
          <w:b/>
        </w:rPr>
      </w:pP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一、总体需求：</w:t>
      </w:r>
    </w:p>
    <w:p>
      <w:pPr>
        <w:ind w:firstLine="560" w:firstLineChars="200"/>
        <w:rPr>
          <w:rFonts w:ascii="宋体" w:hAnsi="宋体" w:eastAsia="宋体" w:cs="Times New Roman"/>
          <w:sz w:val="28"/>
          <w:szCs w:val="28"/>
        </w:rPr>
      </w:pPr>
      <w:r>
        <w:rPr>
          <w:rFonts w:hint="eastAsia" w:ascii="宋体" w:hAnsi="宋体" w:eastAsia="宋体" w:cs="Times New Roman"/>
          <w:sz w:val="28"/>
          <w:szCs w:val="28"/>
        </w:rPr>
        <w:t>该设备</w:t>
      </w:r>
      <w:r>
        <w:rPr>
          <w:rFonts w:ascii="宋体" w:hAnsi="宋体" w:eastAsia="宋体" w:cs="Times New Roman"/>
          <w:sz w:val="28"/>
          <w:szCs w:val="28"/>
        </w:rPr>
        <w:t>可以安全用于</w:t>
      </w:r>
      <w:r>
        <w:rPr>
          <w:rFonts w:hint="eastAsia" w:ascii="宋体" w:hAnsi="宋体" w:eastAsia="宋体" w:cs="Times New Roman"/>
          <w:sz w:val="28"/>
          <w:szCs w:val="28"/>
        </w:rPr>
        <w:t>人体生理学、心理学、生物医学工程、运动科学、神经生物学、生物学、护理和健康科学等众多学科的教学实验课程。提供完整人体生理学实验系统以及众多可选配附件包,以丰富硬件功能，满足不同专业的教学需要，能为学校的教学实验平台提供更好的服务，帮助开展人体实验课程，补充丰富动物实验课程。人体生理高级教学系统设备能提高学生的学习兴趣，节省实验室动物费用，快速有效，节约实验准备时间，有助于医学院学生的未来发展。</w:t>
      </w:r>
    </w:p>
    <w:p>
      <w:pPr>
        <w:spacing w:line="276" w:lineRule="auto"/>
        <w:rPr>
          <w:rFonts w:asciiTheme="minorEastAsia" w:hAnsiTheme="minorEastAsia" w:eastAsiaTheme="minorEastAsia"/>
          <w:b/>
          <w:sz w:val="28"/>
          <w:szCs w:val="28"/>
        </w:rPr>
      </w:pPr>
      <w:r>
        <w:rPr>
          <w:rFonts w:hint="eastAsia" w:asciiTheme="minorEastAsia" w:hAnsiTheme="minorEastAsia" w:eastAsiaTheme="minorEastAsia"/>
          <w:b/>
          <w:sz w:val="28"/>
          <w:szCs w:val="28"/>
        </w:rPr>
        <w:t>二、参数需求：</w:t>
      </w:r>
    </w:p>
    <w:p>
      <w:pPr>
        <w:rPr>
          <w:rFonts w:ascii="宋体" w:hAnsi="宋体" w:eastAsia="宋体" w:cs="Times New Roman"/>
          <w:sz w:val="28"/>
          <w:szCs w:val="28"/>
        </w:rPr>
      </w:pPr>
      <w:r>
        <w:rPr>
          <w:rFonts w:hint="eastAsia" w:ascii="宋体" w:hAnsi="宋体" w:eastAsia="宋体" w:cs="Times New Roman"/>
          <w:sz w:val="28"/>
          <w:szCs w:val="28"/>
        </w:rPr>
        <w:t>1、主机:</w:t>
      </w:r>
    </w:p>
    <w:p>
      <w:pPr>
        <w:pStyle w:val="34"/>
        <w:widowControl w:val="0"/>
        <w:numPr>
          <w:ilvl w:val="0"/>
          <w:numId w:val="4"/>
        </w:numPr>
        <w:adjustRightInd/>
        <w:spacing w:after="0"/>
        <w:ind w:firstLineChars="0"/>
        <w:jc w:val="both"/>
        <w:rPr>
          <w:rFonts w:ascii="宋体" w:hAnsi="宋体" w:eastAsia="宋体" w:cs="Times New Roman"/>
          <w:sz w:val="28"/>
          <w:szCs w:val="28"/>
        </w:rPr>
      </w:pPr>
      <w:r>
        <w:rPr>
          <w:rFonts w:hint="eastAsia" w:ascii="宋体" w:hAnsi="宋体" w:eastAsia="宋体" w:cs="Times New Roman"/>
          <w:sz w:val="28"/>
          <w:szCs w:val="28"/>
        </w:rPr>
        <w:t>★输入通道数量：≥4个(</w:t>
      </w:r>
      <w:r>
        <w:rPr>
          <w:rFonts w:ascii="宋体" w:hAnsi="宋体" w:eastAsia="宋体" w:cs="Times New Roman"/>
          <w:sz w:val="28"/>
          <w:szCs w:val="28"/>
        </w:rPr>
        <w:t xml:space="preserve">4 </w:t>
      </w:r>
      <w:r>
        <w:rPr>
          <w:rFonts w:hint="eastAsia" w:ascii="宋体" w:hAnsi="宋体" w:eastAsia="宋体" w:cs="Times New Roman"/>
          <w:sz w:val="28"/>
          <w:szCs w:val="28"/>
        </w:rPr>
        <w:t>DIN差分输入通道, 2个完全隔离的生物电通道)</w:t>
      </w:r>
    </w:p>
    <w:p>
      <w:pPr>
        <w:pStyle w:val="34"/>
        <w:widowControl w:val="0"/>
        <w:numPr>
          <w:ilvl w:val="0"/>
          <w:numId w:val="4"/>
        </w:numPr>
        <w:adjustRightInd/>
        <w:spacing w:after="0"/>
        <w:ind w:firstLineChars="0"/>
        <w:jc w:val="both"/>
        <w:rPr>
          <w:rFonts w:ascii="宋体" w:hAnsi="宋体" w:eastAsia="宋体" w:cs="Times New Roman"/>
          <w:sz w:val="28"/>
          <w:szCs w:val="28"/>
        </w:rPr>
      </w:pPr>
      <w:r>
        <w:rPr>
          <w:rFonts w:hint="eastAsia" w:ascii="宋体" w:hAnsi="宋体" w:eastAsia="宋体" w:cs="Times New Roman"/>
          <w:sz w:val="28"/>
          <w:szCs w:val="28"/>
        </w:rPr>
        <w:t xml:space="preserve">采样速率: </w:t>
      </w:r>
      <w:r>
        <w:rPr>
          <w:rFonts w:ascii="宋体" w:hAnsi="宋体" w:eastAsia="宋体" w:cs="Times New Roman"/>
          <w:sz w:val="28"/>
          <w:szCs w:val="28"/>
        </w:rPr>
        <w:t>1 S/10 min</w:t>
      </w:r>
      <w:r>
        <w:rPr>
          <w:rFonts w:hint="eastAsia" w:ascii="宋体" w:hAnsi="宋体" w:eastAsia="宋体" w:cs="Times New Roman"/>
          <w:sz w:val="28"/>
          <w:szCs w:val="28"/>
        </w:rPr>
        <w:t xml:space="preserve">～100KS/s </w:t>
      </w:r>
    </w:p>
    <w:p>
      <w:pPr>
        <w:pStyle w:val="34"/>
        <w:widowControl w:val="0"/>
        <w:numPr>
          <w:ilvl w:val="0"/>
          <w:numId w:val="4"/>
        </w:numPr>
        <w:adjustRightInd/>
        <w:spacing w:after="0"/>
        <w:ind w:firstLineChars="0"/>
        <w:jc w:val="both"/>
        <w:rPr>
          <w:rFonts w:ascii="宋体" w:hAnsi="宋体" w:eastAsia="宋体" w:cs="Times New Roman"/>
          <w:sz w:val="28"/>
          <w:szCs w:val="28"/>
        </w:rPr>
      </w:pPr>
      <w:r>
        <w:rPr>
          <w:rFonts w:hint="eastAsia" w:ascii="宋体" w:hAnsi="宋体" w:eastAsia="宋体" w:cs="Times New Roman"/>
          <w:sz w:val="28"/>
          <w:szCs w:val="28"/>
        </w:rPr>
        <w:t xml:space="preserve">反应频率: </w:t>
      </w:r>
      <w:r>
        <w:rPr>
          <w:rFonts w:ascii="宋体" w:hAnsi="宋体" w:eastAsia="宋体" w:cs="Times New Roman"/>
          <w:sz w:val="28"/>
          <w:szCs w:val="28"/>
        </w:rPr>
        <w:t>- 3 dB (37 kHz, 10 V)</w:t>
      </w:r>
    </w:p>
    <w:p>
      <w:pPr>
        <w:pStyle w:val="34"/>
        <w:widowControl w:val="0"/>
        <w:numPr>
          <w:ilvl w:val="0"/>
          <w:numId w:val="4"/>
        </w:numPr>
        <w:adjustRightInd/>
        <w:spacing w:after="0"/>
        <w:ind w:firstLineChars="0"/>
        <w:jc w:val="both"/>
        <w:rPr>
          <w:rFonts w:ascii="宋体" w:hAnsi="宋体" w:eastAsia="宋体" w:cs="Times New Roman"/>
          <w:sz w:val="28"/>
          <w:szCs w:val="28"/>
        </w:rPr>
      </w:pPr>
      <w:r>
        <w:rPr>
          <w:rFonts w:hint="eastAsia" w:ascii="宋体" w:hAnsi="宋体" w:eastAsia="宋体" w:cs="Times New Roman"/>
          <w:sz w:val="28"/>
          <w:szCs w:val="28"/>
        </w:rPr>
        <w:t>模拟输入信号放大范围：±20 mV - ±10 V，共9档</w:t>
      </w:r>
    </w:p>
    <w:p>
      <w:pPr>
        <w:pStyle w:val="34"/>
        <w:widowControl w:val="0"/>
        <w:numPr>
          <w:ilvl w:val="0"/>
          <w:numId w:val="4"/>
        </w:numPr>
        <w:adjustRightInd/>
        <w:spacing w:after="0"/>
        <w:ind w:firstLineChars="0"/>
        <w:jc w:val="both"/>
        <w:rPr>
          <w:rFonts w:ascii="宋体" w:hAnsi="宋体" w:eastAsia="宋体" w:cs="Times New Roman"/>
          <w:sz w:val="28"/>
          <w:szCs w:val="28"/>
        </w:rPr>
      </w:pPr>
      <w:r>
        <w:rPr>
          <w:rFonts w:hint="eastAsia" w:ascii="宋体" w:hAnsi="宋体" w:eastAsia="宋体" w:cs="Times New Roman"/>
          <w:sz w:val="28"/>
          <w:szCs w:val="28"/>
        </w:rPr>
        <w:t>模拟输入信号滤波：</w:t>
      </w:r>
      <w:r>
        <w:rPr>
          <w:rFonts w:ascii="宋体" w:hAnsi="宋体" w:eastAsia="宋体" w:cs="Times New Roman"/>
          <w:sz w:val="28"/>
          <w:szCs w:val="28"/>
        </w:rPr>
        <w:t xml:space="preserve">1, 2, 5, 10, 20, 50, 100, 200, 500, 1000, 2000 Hz </w:t>
      </w:r>
      <w:r>
        <w:rPr>
          <w:rFonts w:hint="eastAsia" w:ascii="宋体" w:hAnsi="宋体" w:eastAsia="宋体" w:cs="Times New Roman"/>
          <w:sz w:val="28"/>
          <w:szCs w:val="28"/>
        </w:rPr>
        <w:t>和交流电源滤波功能</w:t>
      </w:r>
    </w:p>
    <w:p>
      <w:pPr>
        <w:pStyle w:val="34"/>
        <w:widowControl w:val="0"/>
        <w:numPr>
          <w:ilvl w:val="0"/>
          <w:numId w:val="4"/>
        </w:numPr>
        <w:adjustRightInd/>
        <w:spacing w:after="0"/>
        <w:ind w:firstLineChars="0"/>
        <w:jc w:val="both"/>
        <w:rPr>
          <w:rFonts w:ascii="宋体" w:hAnsi="宋体" w:eastAsia="宋体" w:cs="Times New Roman"/>
          <w:sz w:val="28"/>
          <w:szCs w:val="28"/>
        </w:rPr>
      </w:pPr>
      <w:r>
        <w:rPr>
          <w:rFonts w:hint="eastAsia" w:ascii="宋体" w:hAnsi="宋体" w:eastAsia="宋体" w:cs="Times New Roman"/>
          <w:sz w:val="28"/>
          <w:szCs w:val="28"/>
        </w:rPr>
        <w:t xml:space="preserve">输入电压: </w:t>
      </w:r>
      <w:r>
        <w:rPr>
          <w:rFonts w:ascii="宋体" w:hAnsi="宋体" w:eastAsia="宋体" w:cs="Times New Roman"/>
          <w:sz w:val="28"/>
          <w:szCs w:val="28"/>
        </w:rPr>
        <w:t>± 20 mV to ± 10 V</w:t>
      </w:r>
    </w:p>
    <w:p>
      <w:pPr>
        <w:pStyle w:val="34"/>
        <w:widowControl w:val="0"/>
        <w:numPr>
          <w:ilvl w:val="0"/>
          <w:numId w:val="4"/>
        </w:numPr>
        <w:adjustRightInd/>
        <w:spacing w:after="0"/>
        <w:ind w:firstLineChars="0"/>
        <w:jc w:val="both"/>
        <w:rPr>
          <w:rFonts w:ascii="宋体" w:hAnsi="宋体" w:eastAsia="宋体" w:cs="Times New Roman"/>
          <w:sz w:val="28"/>
          <w:szCs w:val="28"/>
        </w:rPr>
      </w:pPr>
      <w:r>
        <w:rPr>
          <w:rFonts w:hint="eastAsia" w:ascii="宋体" w:hAnsi="宋体" w:eastAsia="宋体" w:cs="Times New Roman"/>
          <w:sz w:val="28"/>
          <w:szCs w:val="28"/>
        </w:rPr>
        <w:t>共模抑制比：</w:t>
      </w:r>
      <w:r>
        <w:rPr>
          <w:rFonts w:ascii="宋体" w:hAnsi="宋体" w:eastAsia="宋体" w:cs="Times New Roman"/>
          <w:sz w:val="28"/>
          <w:szCs w:val="28"/>
        </w:rPr>
        <w:t>&gt;95 dB @100 Hz, 20-100 mV</w:t>
      </w:r>
    </w:p>
    <w:p>
      <w:pPr>
        <w:pStyle w:val="34"/>
        <w:widowControl w:val="0"/>
        <w:numPr>
          <w:ilvl w:val="0"/>
          <w:numId w:val="4"/>
        </w:numPr>
        <w:adjustRightInd/>
        <w:spacing w:after="0"/>
        <w:ind w:firstLineChars="0"/>
        <w:jc w:val="both"/>
        <w:rPr>
          <w:rFonts w:ascii="宋体" w:hAnsi="宋体" w:eastAsia="宋体" w:cs="Times New Roman"/>
          <w:sz w:val="28"/>
          <w:szCs w:val="28"/>
        </w:rPr>
      </w:pPr>
      <w:r>
        <w:rPr>
          <w:rFonts w:hint="eastAsia" w:ascii="宋体" w:hAnsi="宋体" w:eastAsia="宋体" w:cs="Times New Roman"/>
          <w:sz w:val="28"/>
          <w:szCs w:val="28"/>
        </w:rPr>
        <w:t>信噪比：</w:t>
      </w:r>
      <w:r>
        <w:rPr>
          <w:rFonts w:ascii="宋体" w:hAnsi="宋体" w:eastAsia="宋体" w:cs="Times New Roman"/>
          <w:sz w:val="28"/>
          <w:szCs w:val="28"/>
        </w:rPr>
        <w:t xml:space="preserve"> &gt; 90 dB</w:t>
      </w:r>
    </w:p>
    <w:p>
      <w:pPr>
        <w:pStyle w:val="34"/>
        <w:widowControl w:val="0"/>
        <w:numPr>
          <w:ilvl w:val="0"/>
          <w:numId w:val="4"/>
        </w:numPr>
        <w:adjustRightInd/>
        <w:spacing w:after="0"/>
        <w:ind w:firstLineChars="0"/>
        <w:jc w:val="both"/>
        <w:rPr>
          <w:rFonts w:ascii="宋体" w:hAnsi="宋体" w:eastAsia="宋体" w:cs="Times New Roman"/>
          <w:sz w:val="28"/>
          <w:szCs w:val="28"/>
        </w:rPr>
      </w:pPr>
      <w:r>
        <w:rPr>
          <w:rFonts w:hint="eastAsia" w:ascii="宋体" w:hAnsi="宋体" w:eastAsia="宋体" w:cs="Times New Roman"/>
          <w:sz w:val="28"/>
          <w:szCs w:val="28"/>
        </w:rPr>
        <w:t>数模转换精度: 16 bits</w:t>
      </w:r>
    </w:p>
    <w:p>
      <w:pPr>
        <w:pStyle w:val="34"/>
        <w:widowControl w:val="0"/>
        <w:adjustRightInd/>
        <w:spacing w:after="0"/>
        <w:ind w:firstLine="0" w:firstLineChars="0"/>
        <w:jc w:val="both"/>
        <w:rPr>
          <w:rFonts w:ascii="宋体" w:hAnsi="宋体" w:eastAsia="宋体" w:cs="Times New Roman"/>
          <w:sz w:val="28"/>
          <w:szCs w:val="28"/>
        </w:rPr>
      </w:pPr>
      <w:r>
        <w:rPr>
          <w:rFonts w:hint="eastAsia" w:ascii="宋体" w:hAnsi="宋体" w:eastAsia="宋体" w:cs="Times New Roman"/>
          <w:sz w:val="28"/>
          <w:szCs w:val="28"/>
        </w:rPr>
        <w:t xml:space="preserve">（10）生物电放大器安全认证: </w:t>
      </w:r>
      <w:r>
        <w:rPr>
          <w:rFonts w:ascii="宋体" w:hAnsi="宋体" w:eastAsia="宋体" w:cs="Times New Roman"/>
          <w:sz w:val="28"/>
          <w:szCs w:val="28"/>
        </w:rPr>
        <w:t>IEC 60601-1</w:t>
      </w:r>
      <w:r>
        <w:rPr>
          <w:rFonts w:hint="eastAsia" w:ascii="宋体" w:hAnsi="宋体" w:eastAsia="宋体" w:cs="Times New Roman"/>
          <w:sz w:val="28"/>
          <w:szCs w:val="28"/>
        </w:rPr>
        <w:t>（</w:t>
      </w:r>
      <w:r>
        <w:rPr>
          <w:rFonts w:ascii="宋体" w:hAnsi="宋体" w:eastAsia="宋体" w:cs="Times New Roman"/>
          <w:sz w:val="28"/>
          <w:szCs w:val="28"/>
        </w:rPr>
        <w:t>设备之电气及机械安全国际协调标准</w:t>
      </w:r>
      <w:r>
        <w:rPr>
          <w:rFonts w:hint="eastAsia" w:ascii="宋体" w:hAnsi="宋体" w:eastAsia="宋体" w:cs="Times New Roman"/>
          <w:sz w:val="28"/>
          <w:szCs w:val="28"/>
        </w:rPr>
        <w:t>）</w:t>
      </w:r>
    </w:p>
    <w:p>
      <w:pPr>
        <w:pStyle w:val="34"/>
        <w:widowControl w:val="0"/>
        <w:adjustRightInd/>
        <w:spacing w:after="0"/>
        <w:ind w:firstLine="0" w:firstLineChars="0"/>
        <w:jc w:val="both"/>
        <w:rPr>
          <w:rFonts w:ascii="宋体" w:hAnsi="宋体" w:eastAsia="宋体" w:cs="Times New Roman"/>
          <w:sz w:val="28"/>
          <w:szCs w:val="28"/>
        </w:rPr>
      </w:pPr>
      <w:r>
        <w:rPr>
          <w:rFonts w:hint="eastAsia" w:ascii="宋体" w:hAnsi="宋体" w:eastAsia="宋体" w:cs="Times New Roman"/>
          <w:sz w:val="28"/>
          <w:szCs w:val="28"/>
        </w:rPr>
        <w:t>（11）★生物电放大器放大范围：±200μV - ±20mV，4档，增益精度：±1%，CMRR：110</w:t>
      </w:r>
      <w:r>
        <w:rPr>
          <w:rFonts w:ascii="宋体" w:hAnsi="宋体" w:eastAsia="宋体" w:cs="Times New Roman"/>
          <w:sz w:val="28"/>
          <w:szCs w:val="28"/>
        </w:rPr>
        <w:t xml:space="preserve"> </w:t>
      </w:r>
      <w:r>
        <w:rPr>
          <w:rFonts w:hint="eastAsia" w:ascii="宋体" w:hAnsi="宋体" w:eastAsia="宋体" w:cs="Times New Roman"/>
          <w:sz w:val="28"/>
          <w:szCs w:val="28"/>
        </w:rPr>
        <w:t>dB</w:t>
      </w:r>
    </w:p>
    <w:p>
      <w:pPr>
        <w:pStyle w:val="34"/>
        <w:widowControl w:val="0"/>
        <w:adjustRightInd/>
        <w:spacing w:after="0"/>
        <w:ind w:firstLine="0" w:firstLineChars="0"/>
        <w:jc w:val="both"/>
        <w:rPr>
          <w:rFonts w:ascii="宋体" w:hAnsi="宋体" w:eastAsia="宋体" w:cs="Times New Roman"/>
          <w:sz w:val="28"/>
          <w:szCs w:val="28"/>
        </w:rPr>
      </w:pPr>
      <w:r>
        <w:rPr>
          <w:rFonts w:hint="eastAsia" w:ascii="宋体" w:hAnsi="宋体" w:eastAsia="宋体" w:cs="Times New Roman"/>
          <w:sz w:val="28"/>
          <w:szCs w:val="28"/>
        </w:rPr>
        <w:t>（12）刺激器电压/电流转换方式：软件自动控制</w:t>
      </w:r>
    </w:p>
    <w:p>
      <w:pPr>
        <w:pStyle w:val="34"/>
        <w:widowControl w:val="0"/>
        <w:adjustRightInd/>
        <w:spacing w:after="0"/>
        <w:ind w:firstLine="0" w:firstLineChars="0"/>
        <w:jc w:val="both"/>
        <w:rPr>
          <w:rFonts w:ascii="宋体" w:hAnsi="宋体" w:eastAsia="宋体" w:cs="Times New Roman"/>
          <w:sz w:val="28"/>
          <w:szCs w:val="28"/>
        </w:rPr>
      </w:pPr>
      <w:r>
        <w:rPr>
          <w:rFonts w:hint="eastAsia" w:ascii="宋体" w:hAnsi="宋体" w:eastAsia="宋体" w:cs="Times New Roman"/>
          <w:sz w:val="28"/>
          <w:szCs w:val="28"/>
        </w:rPr>
        <w:t>（13）刺激器开关：主机面板手动控制或软件自动控制</w:t>
      </w:r>
    </w:p>
    <w:p>
      <w:pPr>
        <w:pStyle w:val="34"/>
        <w:widowControl w:val="0"/>
        <w:adjustRightInd/>
        <w:spacing w:after="0"/>
        <w:ind w:firstLine="0" w:firstLineChars="0"/>
        <w:jc w:val="both"/>
        <w:rPr>
          <w:rFonts w:ascii="宋体" w:hAnsi="宋体" w:eastAsia="宋体" w:cs="Times New Roman"/>
          <w:sz w:val="28"/>
          <w:szCs w:val="28"/>
        </w:rPr>
      </w:pPr>
      <w:r>
        <w:rPr>
          <w:rFonts w:hint="eastAsia" w:ascii="宋体" w:hAnsi="宋体" w:eastAsia="宋体" w:cs="Times New Roman"/>
          <w:sz w:val="28"/>
          <w:szCs w:val="28"/>
        </w:rPr>
        <w:t>（14）电源滤波器功能</w:t>
      </w:r>
    </w:p>
    <w:p>
      <w:pPr>
        <w:pStyle w:val="34"/>
        <w:widowControl w:val="0"/>
        <w:adjustRightInd/>
        <w:spacing w:after="0"/>
        <w:ind w:firstLine="0" w:firstLineChars="0"/>
        <w:jc w:val="both"/>
        <w:rPr>
          <w:rFonts w:ascii="宋体" w:hAnsi="宋体" w:eastAsia="宋体" w:cs="Times New Roman"/>
          <w:sz w:val="28"/>
          <w:szCs w:val="28"/>
        </w:rPr>
      </w:pPr>
      <w:r>
        <w:rPr>
          <w:rFonts w:hint="eastAsia" w:ascii="宋体" w:hAnsi="宋体" w:eastAsia="宋体" w:cs="Times New Roman"/>
          <w:sz w:val="28"/>
          <w:szCs w:val="28"/>
        </w:rPr>
        <w:t>（15）数据传输：USB2.0, 连接计算机(Windows或</w:t>
      </w:r>
      <w:r>
        <w:rPr>
          <w:rFonts w:ascii="宋体" w:hAnsi="宋体" w:eastAsia="宋体" w:cs="Times New Roman"/>
          <w:sz w:val="28"/>
          <w:szCs w:val="28"/>
        </w:rPr>
        <w:t>MAC</w:t>
      </w:r>
      <w:r>
        <w:rPr>
          <w:rFonts w:hint="eastAsia" w:ascii="宋体" w:hAnsi="宋体" w:eastAsia="宋体" w:cs="Times New Roman"/>
          <w:sz w:val="28"/>
          <w:szCs w:val="28"/>
        </w:rPr>
        <w:t>兼容)</w:t>
      </w:r>
    </w:p>
    <w:p>
      <w:pPr>
        <w:ind w:left="284"/>
        <w:rPr>
          <w:rFonts w:ascii="宋体" w:hAnsi="宋体" w:eastAsia="宋体" w:cs="Times New Roman"/>
          <w:sz w:val="28"/>
          <w:szCs w:val="28"/>
        </w:rPr>
      </w:pPr>
    </w:p>
    <w:p>
      <w:pPr>
        <w:rPr>
          <w:rFonts w:ascii="宋体" w:hAnsi="宋体" w:eastAsia="宋体" w:cs="Times New Roman"/>
          <w:sz w:val="28"/>
          <w:szCs w:val="28"/>
        </w:rPr>
      </w:pPr>
      <w:r>
        <w:rPr>
          <w:rFonts w:hint="eastAsia" w:ascii="宋体" w:hAnsi="宋体" w:eastAsia="宋体" w:cs="Times New Roman"/>
          <w:sz w:val="28"/>
          <w:szCs w:val="28"/>
        </w:rPr>
        <w:t>2、软件：</w:t>
      </w:r>
    </w:p>
    <w:p>
      <w:pPr>
        <w:widowControl w:val="0"/>
        <w:numPr>
          <w:ilvl w:val="1"/>
          <w:numId w:val="5"/>
        </w:numPr>
        <w:spacing w:after="0"/>
        <w:ind w:left="560" w:hanging="560" w:hangingChars="200"/>
        <w:jc w:val="both"/>
        <w:rPr>
          <w:rFonts w:ascii="宋体" w:hAnsi="宋体" w:eastAsia="宋体" w:cs="Times New Roman"/>
          <w:sz w:val="28"/>
          <w:szCs w:val="28"/>
        </w:rPr>
      </w:pPr>
      <w:r>
        <w:rPr>
          <w:rFonts w:hint="eastAsia" w:ascii="宋体" w:hAnsi="宋体" w:eastAsia="宋体" w:cs="Times New Roman"/>
          <w:sz w:val="28"/>
          <w:szCs w:val="28"/>
        </w:rPr>
        <w:t xml:space="preserve">★中英文版本,实验课程与高端教学和国际教学接轨，可实现双语教学 </w:t>
      </w:r>
    </w:p>
    <w:p>
      <w:pPr>
        <w:widowControl w:val="0"/>
        <w:numPr>
          <w:ilvl w:val="1"/>
          <w:numId w:val="5"/>
        </w:numPr>
        <w:spacing w:after="0"/>
        <w:ind w:left="560" w:hanging="560" w:hangingChars="200"/>
        <w:jc w:val="both"/>
        <w:rPr>
          <w:rFonts w:ascii="宋体" w:hAnsi="宋体" w:eastAsia="宋体" w:cs="Times New Roman"/>
          <w:sz w:val="28"/>
          <w:szCs w:val="28"/>
        </w:rPr>
      </w:pPr>
      <w:r>
        <w:rPr>
          <w:rFonts w:hint="eastAsia" w:ascii="宋体" w:hAnsi="宋体" w:eastAsia="宋体" w:cs="Times New Roman"/>
          <w:sz w:val="28"/>
          <w:szCs w:val="28"/>
        </w:rPr>
        <w:t>系统预设实验参数及设置，因而无需每次实验开始时重新设置；同时,在软件操作界面中可调节与通道显示相关的设置,从而提供更好的视觉体验.</w:t>
      </w:r>
    </w:p>
    <w:p>
      <w:pPr>
        <w:widowControl w:val="0"/>
        <w:numPr>
          <w:ilvl w:val="1"/>
          <w:numId w:val="5"/>
        </w:numPr>
        <w:spacing w:after="0"/>
        <w:ind w:left="560" w:hanging="560" w:hangingChars="200"/>
        <w:jc w:val="both"/>
        <w:rPr>
          <w:rFonts w:ascii="宋体" w:hAnsi="宋体" w:eastAsia="宋体" w:cs="Times New Roman"/>
          <w:sz w:val="28"/>
          <w:szCs w:val="28"/>
        </w:rPr>
      </w:pPr>
      <w:r>
        <w:rPr>
          <w:rFonts w:hint="eastAsia" w:ascii="宋体" w:hAnsi="宋体" w:eastAsia="宋体" w:cs="Times New Roman"/>
          <w:sz w:val="28"/>
          <w:szCs w:val="28"/>
        </w:rPr>
        <w:t>实验内容包含背景资料,实验目的,实验方法及步骤的多媒体实验指导,可引导学生一步步的自主完成整个实验过程,大大减轻教师工作量,提高实验教学效率,</w:t>
      </w:r>
    </w:p>
    <w:p>
      <w:pPr>
        <w:widowControl w:val="0"/>
        <w:numPr>
          <w:ilvl w:val="1"/>
          <w:numId w:val="5"/>
        </w:numPr>
        <w:spacing w:after="0"/>
        <w:ind w:left="560" w:hanging="560" w:hangingChars="200"/>
        <w:jc w:val="both"/>
        <w:rPr>
          <w:rFonts w:ascii="宋体" w:hAnsi="宋体" w:eastAsia="宋体" w:cs="Times New Roman"/>
          <w:sz w:val="28"/>
          <w:szCs w:val="28"/>
        </w:rPr>
      </w:pPr>
      <w:r>
        <w:rPr>
          <w:rFonts w:hint="eastAsia" w:ascii="宋体" w:hAnsi="宋体" w:eastAsia="宋体" w:cs="Times New Roman"/>
          <w:sz w:val="28"/>
          <w:szCs w:val="28"/>
        </w:rPr>
        <w:t>一体式的系统设计,既包括了实验数据的实时采集,又有数据结果的分析和基础理论知识和实验技能的教授</w:t>
      </w:r>
    </w:p>
    <w:p>
      <w:pPr>
        <w:widowControl w:val="0"/>
        <w:numPr>
          <w:ilvl w:val="1"/>
          <w:numId w:val="5"/>
        </w:numPr>
        <w:spacing w:after="0"/>
        <w:ind w:left="560" w:hanging="560" w:hangingChars="200"/>
        <w:jc w:val="both"/>
        <w:rPr>
          <w:rFonts w:ascii="宋体" w:hAnsi="宋体" w:eastAsia="宋体" w:cs="Times New Roman"/>
          <w:sz w:val="28"/>
          <w:szCs w:val="28"/>
        </w:rPr>
      </w:pPr>
      <w:r>
        <w:rPr>
          <w:rFonts w:hint="eastAsia" w:ascii="宋体" w:hAnsi="宋体" w:eastAsia="宋体" w:cs="Times New Roman"/>
          <w:sz w:val="28"/>
          <w:szCs w:val="28"/>
        </w:rPr>
        <w:t>有自动的数据统计及图表生成功能, 并可快速自动生成完整的实验报告</w:t>
      </w:r>
    </w:p>
    <w:p>
      <w:pPr>
        <w:widowControl w:val="0"/>
        <w:numPr>
          <w:ilvl w:val="1"/>
          <w:numId w:val="5"/>
        </w:numPr>
        <w:spacing w:after="0"/>
        <w:ind w:left="560" w:hanging="560" w:hangingChars="200"/>
        <w:jc w:val="both"/>
        <w:rPr>
          <w:rFonts w:ascii="宋体" w:hAnsi="宋体" w:eastAsia="宋体" w:cs="Times New Roman"/>
          <w:sz w:val="28"/>
          <w:szCs w:val="28"/>
        </w:rPr>
      </w:pPr>
      <w:r>
        <w:rPr>
          <w:rFonts w:hint="eastAsia" w:ascii="宋体" w:hAnsi="宋体" w:eastAsia="宋体" w:cs="Times New Roman"/>
          <w:sz w:val="28"/>
          <w:szCs w:val="28"/>
        </w:rPr>
        <w:t>互动式的实验教学, 实验问题集成在软件中的每个实验课程后, 可增强教学实验对的学生的启发性</w:t>
      </w:r>
    </w:p>
    <w:p>
      <w:pPr>
        <w:widowControl w:val="0"/>
        <w:numPr>
          <w:ilvl w:val="1"/>
          <w:numId w:val="5"/>
        </w:numPr>
        <w:spacing w:after="0"/>
        <w:ind w:left="560" w:hanging="560" w:hangingChars="200"/>
        <w:jc w:val="both"/>
        <w:rPr>
          <w:rFonts w:ascii="宋体" w:hAnsi="宋体" w:eastAsia="宋体" w:cs="Times New Roman"/>
          <w:sz w:val="28"/>
          <w:szCs w:val="28"/>
        </w:rPr>
      </w:pPr>
      <w:r>
        <w:rPr>
          <w:rFonts w:hint="eastAsia" w:ascii="宋体" w:hAnsi="宋体" w:eastAsia="宋体" w:cs="Times New Roman"/>
          <w:sz w:val="28"/>
          <w:szCs w:val="28"/>
        </w:rPr>
        <w:t>面向管理员(教师),提供专门的在线编辑权限,可对现有的实验课程进行编辑更新或增加原创实验内容</w:t>
      </w:r>
    </w:p>
    <w:p>
      <w:pPr>
        <w:widowControl w:val="0"/>
        <w:numPr>
          <w:ilvl w:val="1"/>
          <w:numId w:val="5"/>
        </w:numPr>
        <w:spacing w:after="0"/>
        <w:ind w:left="560" w:hanging="560" w:hangingChars="200"/>
        <w:jc w:val="both"/>
        <w:rPr>
          <w:rFonts w:ascii="宋体" w:hAnsi="宋体" w:eastAsia="宋体" w:cs="Times New Roman"/>
          <w:sz w:val="28"/>
          <w:szCs w:val="28"/>
        </w:rPr>
      </w:pPr>
      <w:r>
        <w:rPr>
          <w:rFonts w:hint="eastAsia" w:ascii="宋体" w:hAnsi="宋体" w:eastAsia="宋体" w:cs="Times New Roman"/>
          <w:sz w:val="28"/>
          <w:szCs w:val="28"/>
        </w:rPr>
        <w:t>★厂商需建有系统的教学网站，定期发布更新实验资源，并免费提供下载实验扩充包和新的实验文件,能不断提升产品的功能和附加价值（提供相关的网站网址及相关信息截图复印件加盖公章，必要时将现场登陆相关网页查证）。</w:t>
      </w:r>
    </w:p>
    <w:p>
      <w:pPr>
        <w:pStyle w:val="2"/>
        <w:ind w:left="1320"/>
      </w:pPr>
    </w:p>
    <w:p>
      <w:pPr>
        <w:spacing w:line="360" w:lineRule="auto"/>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三、服务要求</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（1）保修期：整个项目免费质保期</w:t>
      </w:r>
      <w:r>
        <w:rPr>
          <w:rFonts w:cs="Times New Roman" w:asciiTheme="minorEastAsia" w:hAnsiTheme="minorEastAsia" w:eastAsiaTheme="minorEastAsia"/>
          <w:kern w:val="2"/>
          <w:sz w:val="28"/>
          <w:szCs w:val="28"/>
        </w:rPr>
        <w:t>1</w:t>
      </w:r>
      <w:r>
        <w:rPr>
          <w:rFonts w:hint="eastAsia" w:cs="Times New Roman" w:asciiTheme="minorEastAsia" w:hAnsiTheme="minorEastAsia" w:eastAsiaTheme="minorEastAsia"/>
          <w:kern w:val="2"/>
          <w:sz w:val="28"/>
          <w:szCs w:val="28"/>
        </w:rPr>
        <w:t>年，自验收合格次日起算，并提供相关承诺书。质保期内发生任何设备损坏，所需要的维修费用（包括零部件费用、维修费用）均由卖方承担（人为操作不当造成的损坏除外）。</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（2）由原厂或原厂认证的工程师提供系统安装和使用培训，对人员培训不低于2人。</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（3）售后技术服务要求：提供详细的售后服务计划。</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（4）提供售后工程师名单及联系方式，售后服务人员在接到电话后，6小时响应，24小时内到位，重大紧急情况3小时内应到位，及时排除故障，保障动物房安全运行。</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合同签订生效后，进口设备（免税）三个月内、国产设备及进口设备（非免税）一个月内全部设备、材料运抵现场，并安装、调试结束，验收合格，交付买方使用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5"/>
        <w:spacing w:line="0" w:lineRule="atLeast"/>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六、其他技术服务需求：</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ind w:firstLine="562" w:firstLineChars="200"/>
        <w:rPr>
          <w:rFonts w:asciiTheme="minorEastAsia" w:hAnsiTheme="minorEastAsia" w:eastAsiaTheme="minorEastAsia"/>
          <w:b/>
          <w:bCs/>
          <w:sz w:val="28"/>
          <w:szCs w:val="28"/>
        </w:rPr>
      </w:pPr>
    </w:p>
    <w:p>
      <w:pPr>
        <w:spacing w:line="360" w:lineRule="auto"/>
        <w:ind w:firstLine="562" w:firstLineChars="200"/>
        <w:rPr>
          <w:rFonts w:asciiTheme="minorEastAsia" w:hAnsiTheme="minorEastAsia" w:eastAsiaTheme="minorEastAsia"/>
          <w:b/>
          <w:bCs/>
          <w:sz w:val="28"/>
          <w:szCs w:val="28"/>
        </w:rPr>
      </w:pP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七、</w:t>
      </w:r>
      <w:r>
        <w:rPr>
          <w:rFonts w:asciiTheme="minorEastAsia" w:hAnsiTheme="minorEastAsia" w:eastAsiaTheme="minorEastAsia"/>
          <w:b/>
          <w:bCs/>
          <w:sz w:val="28"/>
          <w:szCs w:val="28"/>
        </w:rPr>
        <w:t>货款支付</w:t>
      </w:r>
    </w:p>
    <w:p>
      <w:pPr>
        <w:pStyle w:val="3"/>
        <w:keepNext w:val="0"/>
        <w:keepLines/>
        <w:spacing w:line="360" w:lineRule="auto"/>
        <w:jc w:val="left"/>
        <w:rPr>
          <w:rFonts w:hint="eastAsia" w:cs="宋体" w:asciiTheme="minorEastAsia" w:hAnsiTheme="minorEastAsia" w:eastAsiaTheme="minorEastAsia"/>
          <w:b w:val="0"/>
          <w:color w:val="000000"/>
          <w:kern w:val="0"/>
          <w:sz w:val="28"/>
          <w:szCs w:val="28"/>
          <w:lang w:val="en-US" w:eastAsia="zh-CN" w:bidi="ar-SA"/>
        </w:rPr>
      </w:pPr>
      <w:bookmarkStart w:id="165" w:name="_Toc401414769"/>
      <w:r>
        <w:rPr>
          <w:rFonts w:hint="eastAsia" w:cs="宋体" w:asciiTheme="minorEastAsia" w:hAnsiTheme="minorEastAsia" w:eastAsiaTheme="minorEastAsia"/>
          <w:color w:val="000000"/>
          <w:kern w:val="0"/>
          <w:szCs w:val="28"/>
        </w:rPr>
        <w:t xml:space="preserve">   </w:t>
      </w:r>
      <w:r>
        <w:rPr>
          <w:rFonts w:hint="eastAsia" w:cs="宋体" w:asciiTheme="minorEastAsia" w:hAnsiTheme="minorEastAsia" w:eastAsiaTheme="minorEastAsia"/>
          <w:b w:val="0"/>
          <w:color w:val="000000"/>
          <w:kern w:val="0"/>
          <w:sz w:val="28"/>
          <w:szCs w:val="28"/>
          <w:lang w:val="en-US" w:eastAsia="zh-CN" w:bidi="ar-SA"/>
        </w:rPr>
        <w:t>（进口设备--免税）</w:t>
      </w:r>
      <w:r>
        <w:rPr>
          <w:rFonts w:hint="eastAsia" w:cs="宋体" w:asciiTheme="minorEastAsia" w:hAnsiTheme="minorEastAsia" w:eastAsiaTheme="minorEastAsia"/>
          <w:color w:val="000000"/>
          <w:kern w:val="0"/>
        </w:rPr>
        <w:t>合同签订后（使用部门借款）支付100%的贷款给外贸公司，待货到验收合格后，再由外贸公司支付给厂家。</w:t>
      </w:r>
    </w:p>
    <w:p>
      <w:pPr>
        <w:pStyle w:val="10"/>
        <w:spacing w:before="120" w:after="120" w:line="330" w:lineRule="atLeast"/>
        <w:ind w:firstLine="560" w:firstLineChars="200"/>
        <w:rPr>
          <w:rFonts w:hint="eastAsia" w:cs="宋体" w:asciiTheme="minorEastAsia" w:hAnsiTheme="minorEastAsia" w:eastAsiaTheme="minorEastAsia"/>
          <w:b w:val="0"/>
          <w:color w:val="000000"/>
          <w:kern w:val="0"/>
          <w:sz w:val="28"/>
          <w:szCs w:val="28"/>
          <w:lang w:val="en-US" w:eastAsia="zh-CN" w:bidi="ar-SA"/>
        </w:rPr>
      </w:pPr>
      <w:r>
        <w:rPr>
          <w:rFonts w:hint="eastAsia" w:cs="宋体" w:asciiTheme="minorEastAsia" w:hAnsiTheme="minorEastAsia" w:eastAsiaTheme="minorEastAsia"/>
          <w:b w:val="0"/>
          <w:color w:val="000000"/>
          <w:kern w:val="0"/>
          <w:sz w:val="28"/>
          <w:szCs w:val="28"/>
          <w:lang w:val="en-US" w:eastAsia="zh-CN" w:bidi="ar-SA"/>
        </w:rPr>
        <w:t>（国产设备及进口设备--非免税）货物交付且安装、调试后，并通过验收后一周内甲方支付合同总金额的100%，付款之前需收到乙方开具的合法有效的相应全额发票。</w:t>
      </w:r>
    </w:p>
    <w:p>
      <w:pPr>
        <w:keepNext w:val="0"/>
        <w:keepLines w:val="0"/>
        <w:widowControl w:val="0"/>
        <w:suppressLineNumbers w:val="0"/>
        <w:spacing w:before="0" w:beforeAutospacing="0" w:after="0" w:afterAutospacing="0" w:line="360" w:lineRule="auto"/>
        <w:ind w:left="0" w:right="0" w:firstLine="560" w:firstLineChars="200"/>
        <w:jc w:val="both"/>
        <w:rPr>
          <w:rFonts w:hint="eastAsia" w:cs="宋体" w:asciiTheme="minorEastAsia" w:hAnsiTheme="minorEastAsia" w:eastAsiaTheme="minorEastAsia"/>
          <w:b w:val="0"/>
          <w:color w:val="000000"/>
          <w:kern w:val="0"/>
          <w:sz w:val="28"/>
          <w:szCs w:val="28"/>
          <w:lang w:val="en-US" w:eastAsia="zh-CN" w:bidi="ar-SA"/>
        </w:rPr>
      </w:pPr>
    </w:p>
    <w:p>
      <w:pPr>
        <w:pStyle w:val="3"/>
        <w:keepNext w:val="0"/>
        <w:keepLines/>
        <w:spacing w:line="360" w:lineRule="auto"/>
        <w:jc w:val="left"/>
        <w:rPr>
          <w:rFonts w:asciiTheme="minorEastAsia" w:hAnsiTheme="minorEastAsia" w:eastAsiaTheme="minorEastAsia"/>
          <w:b/>
          <w:bCs/>
        </w:rPr>
      </w:pPr>
      <w:r>
        <w:rPr>
          <w:rFonts w:hint="eastAsia" w:cs="宋体" w:asciiTheme="minorEastAsia" w:hAnsiTheme="minorEastAsia" w:eastAsiaTheme="minorEastAsia"/>
          <w:szCs w:val="21"/>
        </w:rPr>
        <w:t xml:space="preserve"> </w:t>
      </w:r>
    </w:p>
    <w:p>
      <w:pPr>
        <w:pStyle w:val="3"/>
        <w:keepNext w:val="0"/>
        <w:keepLines/>
        <w:spacing w:line="360" w:lineRule="auto"/>
        <w:ind w:firstLine="883" w:firstLineChars="200"/>
        <w:rPr>
          <w:rFonts w:ascii="宋体" w:hAnsi="宋体" w:eastAsia="宋体"/>
          <w:b/>
          <w:bCs/>
          <w:sz w:val="44"/>
          <w:szCs w:val="44"/>
        </w:rPr>
      </w:pPr>
    </w:p>
    <w:p>
      <w:pPr>
        <w:pStyle w:val="3"/>
        <w:keepNext w:val="0"/>
        <w:keepLines/>
        <w:spacing w:line="360" w:lineRule="auto"/>
        <w:jc w:val="left"/>
        <w:rPr>
          <w:rFonts w:ascii="宋体" w:hAnsi="宋体" w:eastAsia="宋体"/>
          <w:b/>
          <w:bCs/>
          <w:sz w:val="44"/>
          <w:szCs w:val="44"/>
        </w:rPr>
      </w:pPr>
      <w:bookmarkStart w:id="166" w:name="_Toc523931348"/>
    </w:p>
    <w:p>
      <w:pPr>
        <w:rPr>
          <w:rFonts w:ascii="宋体" w:hAnsi="宋体" w:eastAsia="宋体"/>
          <w:b/>
          <w:bCs/>
          <w:sz w:val="44"/>
          <w:szCs w:val="44"/>
        </w:rPr>
      </w:pPr>
    </w:p>
    <w:p>
      <w:pPr>
        <w:pStyle w:val="2"/>
        <w:ind w:left="1320"/>
        <w:rPr>
          <w:rFonts w:ascii="宋体" w:hAnsi="宋体" w:eastAsia="宋体"/>
          <w:b/>
          <w:bCs/>
          <w:sz w:val="44"/>
          <w:szCs w:val="44"/>
        </w:rPr>
      </w:pPr>
    </w:p>
    <w:p>
      <w:pPr>
        <w:rPr>
          <w:rFonts w:ascii="宋体" w:hAnsi="宋体" w:eastAsia="宋体"/>
          <w:b/>
          <w:bCs/>
          <w:sz w:val="44"/>
          <w:szCs w:val="44"/>
        </w:rPr>
      </w:pPr>
    </w:p>
    <w:p>
      <w:pPr>
        <w:pStyle w:val="2"/>
        <w:ind w:left="1320"/>
        <w:rPr>
          <w:rFonts w:ascii="宋体" w:hAnsi="宋体" w:eastAsia="宋体"/>
          <w:b/>
          <w:bCs/>
          <w:sz w:val="44"/>
          <w:szCs w:val="44"/>
        </w:rPr>
      </w:pPr>
    </w:p>
    <w:p>
      <w:pPr>
        <w:rPr>
          <w:rFonts w:ascii="宋体" w:hAnsi="宋体" w:eastAsia="宋体"/>
          <w:b/>
          <w:bCs/>
          <w:sz w:val="44"/>
          <w:szCs w:val="44"/>
        </w:rPr>
      </w:pPr>
    </w:p>
    <w:p>
      <w:pPr>
        <w:pStyle w:val="2"/>
        <w:ind w:left="1320"/>
        <w:rPr>
          <w:rFonts w:ascii="宋体" w:hAnsi="宋体" w:eastAsia="宋体"/>
          <w:b/>
          <w:bCs/>
          <w:sz w:val="44"/>
          <w:szCs w:val="44"/>
        </w:rPr>
      </w:pPr>
    </w:p>
    <w:p>
      <w:pPr>
        <w:rPr>
          <w:rFonts w:ascii="宋体" w:hAnsi="宋体" w:eastAsia="宋体"/>
          <w:b/>
          <w:bCs/>
          <w:sz w:val="44"/>
          <w:szCs w:val="44"/>
        </w:rPr>
      </w:pPr>
    </w:p>
    <w:p>
      <w:pPr>
        <w:pStyle w:val="2"/>
        <w:ind w:left="1320"/>
        <w:rPr>
          <w:rFonts w:ascii="宋体" w:hAnsi="宋体" w:eastAsia="宋体"/>
          <w:b/>
          <w:bCs/>
          <w:sz w:val="44"/>
          <w:szCs w:val="44"/>
        </w:rPr>
      </w:pPr>
    </w:p>
    <w:p>
      <w:pPr>
        <w:rPr>
          <w:rFonts w:ascii="宋体" w:hAnsi="宋体" w:eastAsia="宋体"/>
          <w:b/>
          <w:bCs/>
          <w:sz w:val="44"/>
          <w:szCs w:val="44"/>
        </w:rPr>
      </w:pPr>
    </w:p>
    <w:p>
      <w:pPr>
        <w:pStyle w:val="3"/>
        <w:keepNext w:val="0"/>
        <w:keepLines/>
        <w:spacing w:line="360" w:lineRule="auto"/>
        <w:jc w:val="both"/>
        <w:rPr>
          <w:rFonts w:ascii="宋体" w:hAnsi="宋体" w:eastAsia="宋体"/>
          <w:b/>
          <w:bCs/>
          <w:sz w:val="44"/>
          <w:szCs w:val="44"/>
        </w:rPr>
      </w:pPr>
    </w:p>
    <w:p>
      <w:pPr>
        <w:pStyle w:val="3"/>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6"/>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8"/>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18"/>
        <w:tblW w:w="8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
        <w:gridCol w:w="1727"/>
        <w:gridCol w:w="5218"/>
        <w:gridCol w:w="9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936" w:type="dxa"/>
            <w:tcBorders>
              <w:top w:val="single" w:color="auto" w:sz="4" w:space="0"/>
              <w:left w:val="single" w:color="auto" w:sz="4" w:space="0"/>
              <w:bottom w:val="single" w:color="auto" w:sz="4" w:space="0"/>
              <w:right w:val="single" w:color="auto" w:sz="4" w:space="0"/>
            </w:tcBorders>
            <w:vAlign w:val="center"/>
          </w:tcPr>
          <w:p>
            <w:pPr>
              <w:spacing w:line="120" w:lineRule="auto"/>
              <w:jc w:val="center"/>
              <w:rPr>
                <w:rFonts w:ascii="宋体" w:hAnsi="宋体" w:eastAsia="宋体" w:cs="宋体"/>
                <w:b/>
                <w:bCs/>
                <w:snapToGrid w:val="0"/>
                <w:sz w:val="24"/>
                <w:szCs w:val="28"/>
              </w:rPr>
            </w:pPr>
            <w:r>
              <w:rPr>
                <w:rFonts w:hint="eastAsia" w:ascii="宋体" w:hAnsi="宋体" w:eastAsia="宋体" w:cs="宋体"/>
                <w:b/>
                <w:bCs/>
                <w:snapToGrid w:val="0"/>
                <w:sz w:val="24"/>
                <w:szCs w:val="28"/>
              </w:rPr>
              <w:t>序号</w:t>
            </w:r>
          </w:p>
        </w:tc>
        <w:tc>
          <w:tcPr>
            <w:tcW w:w="1727" w:type="dxa"/>
            <w:tcBorders>
              <w:top w:val="single" w:color="auto" w:sz="4" w:space="0"/>
              <w:left w:val="single" w:color="auto" w:sz="4" w:space="0"/>
              <w:bottom w:val="single" w:color="auto" w:sz="4" w:space="0"/>
              <w:right w:val="single" w:color="auto" w:sz="4" w:space="0"/>
            </w:tcBorders>
            <w:vAlign w:val="center"/>
          </w:tcPr>
          <w:p>
            <w:pPr>
              <w:spacing w:line="120" w:lineRule="auto"/>
              <w:jc w:val="center"/>
              <w:rPr>
                <w:rFonts w:ascii="宋体" w:hAnsi="宋体" w:eastAsia="宋体" w:cs="宋体"/>
                <w:b/>
                <w:bCs/>
                <w:snapToGrid w:val="0"/>
                <w:sz w:val="24"/>
                <w:szCs w:val="28"/>
              </w:rPr>
            </w:pPr>
            <w:r>
              <w:rPr>
                <w:rFonts w:hint="eastAsia" w:ascii="宋体" w:hAnsi="宋体" w:eastAsia="宋体" w:cs="宋体"/>
                <w:b/>
                <w:bCs/>
                <w:snapToGrid w:val="0"/>
                <w:sz w:val="24"/>
                <w:szCs w:val="28"/>
              </w:rPr>
              <w:t>评分项目</w:t>
            </w:r>
          </w:p>
        </w:tc>
        <w:tc>
          <w:tcPr>
            <w:tcW w:w="5218" w:type="dxa"/>
            <w:tcBorders>
              <w:top w:val="single" w:color="auto" w:sz="4" w:space="0"/>
              <w:left w:val="single" w:color="auto" w:sz="4" w:space="0"/>
              <w:bottom w:val="single" w:color="auto" w:sz="4" w:space="0"/>
              <w:right w:val="single" w:color="auto" w:sz="4" w:space="0"/>
            </w:tcBorders>
            <w:vAlign w:val="center"/>
          </w:tcPr>
          <w:p>
            <w:pPr>
              <w:spacing w:line="120" w:lineRule="auto"/>
              <w:jc w:val="center"/>
              <w:rPr>
                <w:rFonts w:ascii="宋体" w:hAnsi="宋体" w:eastAsia="宋体" w:cs="宋体"/>
                <w:b/>
                <w:bCs/>
                <w:snapToGrid w:val="0"/>
                <w:sz w:val="24"/>
                <w:szCs w:val="28"/>
              </w:rPr>
            </w:pPr>
            <w:r>
              <w:rPr>
                <w:rFonts w:hint="eastAsia" w:ascii="宋体" w:hAnsi="宋体" w:eastAsia="宋体" w:cs="宋体"/>
                <w:b/>
                <w:bCs/>
                <w:snapToGrid w:val="0"/>
                <w:sz w:val="24"/>
                <w:szCs w:val="28"/>
              </w:rPr>
              <w:t>评分标准</w:t>
            </w:r>
          </w:p>
        </w:tc>
        <w:tc>
          <w:tcPr>
            <w:tcW w:w="903" w:type="dxa"/>
            <w:tcBorders>
              <w:top w:val="single" w:color="auto" w:sz="4" w:space="0"/>
              <w:left w:val="single" w:color="auto" w:sz="4" w:space="0"/>
              <w:bottom w:val="single" w:color="auto" w:sz="4" w:space="0"/>
              <w:right w:val="single" w:color="auto" w:sz="4" w:space="0"/>
            </w:tcBorders>
            <w:vAlign w:val="center"/>
          </w:tcPr>
          <w:p>
            <w:pPr>
              <w:spacing w:line="120" w:lineRule="auto"/>
              <w:jc w:val="center"/>
              <w:rPr>
                <w:rFonts w:ascii="宋体" w:hAnsi="宋体" w:eastAsia="宋体" w:cs="宋体"/>
                <w:b/>
                <w:bCs/>
                <w:snapToGrid w:val="0"/>
                <w:sz w:val="24"/>
                <w:szCs w:val="28"/>
              </w:rPr>
            </w:pPr>
            <w:r>
              <w:rPr>
                <w:rFonts w:hint="eastAsia" w:ascii="宋体" w:hAnsi="宋体" w:eastAsia="宋体" w:cs="宋体"/>
                <w:b/>
                <w:bCs/>
                <w:snapToGrid w:val="0"/>
                <w:sz w:val="24"/>
                <w:szCs w:val="28"/>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jc w:val="center"/>
        </w:trPr>
        <w:tc>
          <w:tcPr>
            <w:tcW w:w="9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1</w:t>
            </w:r>
          </w:p>
        </w:tc>
        <w:tc>
          <w:tcPr>
            <w:tcW w:w="172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Arial" w:asciiTheme="minorEastAsia" w:hAnsiTheme="minorEastAsia" w:eastAsiaTheme="minorEastAsia"/>
                <w:bCs/>
                <w:sz w:val="23"/>
                <w:szCs w:val="23"/>
              </w:rPr>
            </w:pPr>
          </w:p>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价格</w:t>
            </w:r>
          </w:p>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（30分）</w:t>
            </w:r>
          </w:p>
          <w:p>
            <w:pPr>
              <w:spacing w:line="360" w:lineRule="auto"/>
              <w:jc w:val="center"/>
              <w:rPr>
                <w:rFonts w:cs="Arial" w:asciiTheme="minorEastAsia" w:hAnsiTheme="minorEastAsia" w:eastAsiaTheme="minorEastAsia"/>
                <w:bCs/>
                <w:sz w:val="23"/>
                <w:szCs w:val="23"/>
              </w:rPr>
            </w:pPr>
          </w:p>
        </w:tc>
        <w:tc>
          <w:tcPr>
            <w:tcW w:w="5218" w:type="dxa"/>
            <w:tcBorders>
              <w:top w:val="single" w:color="auto" w:sz="4" w:space="0"/>
              <w:left w:val="single" w:color="auto" w:sz="4" w:space="0"/>
              <w:bottom w:val="single" w:color="auto" w:sz="4" w:space="0"/>
              <w:right w:val="single" w:color="auto" w:sz="4" w:space="0"/>
            </w:tcBorders>
            <w:vAlign w:val="center"/>
          </w:tcPr>
          <w:p>
            <w:pPr>
              <w:spacing w:line="360" w:lineRule="auto"/>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价格分采用低价优先法计算，满足招标文件要求，进入详细评审的各投标人报价的最低值为评标基准价A值，A值为价格分的满分，即30分。其他投标人的价格分统一按照以下公式计算：投标人评标价得分=（A／该投标人评标价）×30（保留小数点后两位）。</w:t>
            </w:r>
          </w:p>
        </w:tc>
        <w:tc>
          <w:tcPr>
            <w:tcW w:w="903" w:type="dxa"/>
            <w:tcBorders>
              <w:top w:val="single" w:color="auto" w:sz="4" w:space="0"/>
              <w:left w:val="single" w:color="auto" w:sz="4" w:space="0"/>
              <w:bottom w:val="single" w:color="auto" w:sz="4" w:space="0"/>
              <w:right w:val="single" w:color="auto" w:sz="4" w:space="0"/>
            </w:tcBorders>
            <w:vAlign w:val="center"/>
          </w:tcPr>
          <w:p>
            <w:pPr>
              <w:spacing w:line="360" w:lineRule="auto"/>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4" w:hRule="atLeast"/>
          <w:jc w:val="center"/>
        </w:trPr>
        <w:tc>
          <w:tcPr>
            <w:tcW w:w="936" w:type="dxa"/>
            <w:tcBorders>
              <w:top w:val="single" w:color="auto" w:sz="4" w:space="0"/>
              <w:left w:val="single" w:color="auto" w:sz="4" w:space="0"/>
              <w:right w:val="single" w:color="auto" w:sz="4" w:space="0"/>
            </w:tcBorders>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2</w:t>
            </w:r>
          </w:p>
        </w:tc>
        <w:tc>
          <w:tcPr>
            <w:tcW w:w="1727" w:type="dxa"/>
            <w:tcBorders>
              <w:top w:val="single" w:color="auto" w:sz="4" w:space="0"/>
              <w:left w:val="single" w:color="auto" w:sz="4" w:space="0"/>
              <w:right w:val="single" w:color="auto" w:sz="4" w:space="0"/>
            </w:tcBorders>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技术响应情况</w:t>
            </w:r>
          </w:p>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（24分）</w:t>
            </w:r>
          </w:p>
        </w:tc>
        <w:tc>
          <w:tcPr>
            <w:tcW w:w="5218" w:type="dxa"/>
            <w:tcBorders>
              <w:top w:val="single" w:color="auto" w:sz="4" w:space="0"/>
              <w:left w:val="single" w:color="auto" w:sz="4" w:space="0"/>
              <w:bottom w:val="single" w:color="auto" w:sz="4" w:space="0"/>
              <w:right w:val="single" w:color="auto" w:sz="4" w:space="0"/>
            </w:tcBorders>
            <w:vAlign w:val="center"/>
          </w:tcPr>
          <w:p>
            <w:pPr>
              <w:spacing w:line="360" w:lineRule="auto"/>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投标产品对招标文件具体需求的响应程度：完全响应得24分；带★项的为主要指标，不满足的每项减6分，其他每有一项不满足减4分；有</w:t>
            </w:r>
            <w:r>
              <w:rPr>
                <w:rFonts w:hint="eastAsia" w:ascii="宋体" w:hAnsi="宋体" w:eastAsia="宋体" w:cs="宋体"/>
                <w:bCs/>
                <w:sz w:val="23"/>
                <w:szCs w:val="23"/>
              </w:rPr>
              <w:t>≥3</w:t>
            </w:r>
            <w:r>
              <w:rPr>
                <w:rFonts w:hint="eastAsia" w:cs="Arial" w:asciiTheme="minorEastAsia" w:hAnsiTheme="minorEastAsia" w:eastAsiaTheme="minorEastAsia"/>
                <w:bCs/>
                <w:sz w:val="23"/>
                <w:szCs w:val="23"/>
              </w:rPr>
              <w:t>项负偏离，该项不得分。</w:t>
            </w:r>
          </w:p>
        </w:tc>
        <w:tc>
          <w:tcPr>
            <w:tcW w:w="903" w:type="dxa"/>
            <w:tcBorders>
              <w:top w:val="single" w:color="auto" w:sz="4" w:space="0"/>
              <w:left w:val="single" w:color="auto" w:sz="4" w:space="0"/>
              <w:right w:val="single" w:color="auto" w:sz="4" w:space="0"/>
            </w:tcBorders>
            <w:vAlign w:val="center"/>
          </w:tcPr>
          <w:p>
            <w:pPr>
              <w:spacing w:line="360" w:lineRule="auto"/>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3</w:t>
            </w:r>
          </w:p>
        </w:tc>
        <w:tc>
          <w:tcPr>
            <w:tcW w:w="172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同类产品销售业绩（7分）</w:t>
            </w:r>
          </w:p>
        </w:tc>
        <w:tc>
          <w:tcPr>
            <w:tcW w:w="5218" w:type="dxa"/>
            <w:tcBorders>
              <w:top w:val="single" w:color="auto" w:sz="4" w:space="0"/>
              <w:left w:val="single" w:color="auto" w:sz="4" w:space="0"/>
              <w:bottom w:val="single" w:color="auto" w:sz="4" w:space="0"/>
              <w:right w:val="single" w:color="auto" w:sz="4" w:space="0"/>
            </w:tcBorders>
            <w:vAlign w:val="center"/>
          </w:tcPr>
          <w:p>
            <w:pPr>
              <w:spacing w:line="360" w:lineRule="auto"/>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投标人2016年01月01日以来的类似项目业绩，每提供一个得1分，最高得7分。（请提供有效的加盖公章的合同复印件,原件备查）</w:t>
            </w:r>
          </w:p>
        </w:tc>
        <w:tc>
          <w:tcPr>
            <w:tcW w:w="903" w:type="dxa"/>
            <w:tcBorders>
              <w:top w:val="single" w:color="auto" w:sz="4" w:space="0"/>
              <w:left w:val="single" w:color="auto" w:sz="4" w:space="0"/>
              <w:bottom w:val="single" w:color="auto" w:sz="4" w:space="0"/>
              <w:right w:val="single" w:color="auto" w:sz="4" w:space="0"/>
            </w:tcBorders>
            <w:vAlign w:val="center"/>
          </w:tcPr>
          <w:p>
            <w:pPr>
              <w:spacing w:line="360" w:lineRule="auto"/>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936" w:type="dxa"/>
            <w:vMerge w:val="restart"/>
            <w:tcBorders>
              <w:top w:val="single" w:color="auto" w:sz="4" w:space="0"/>
              <w:left w:val="single" w:color="auto" w:sz="4" w:space="0"/>
              <w:right w:val="single" w:color="auto" w:sz="4" w:space="0"/>
            </w:tcBorders>
            <w:vAlign w:val="center"/>
          </w:tcPr>
          <w:p>
            <w:pPr>
              <w:jc w:val="center"/>
              <w:rPr>
                <w:rFonts w:cs="Arial" w:asciiTheme="minorEastAsia" w:hAnsiTheme="minorEastAsia" w:eastAsiaTheme="minorEastAsia"/>
                <w:bCs/>
                <w:sz w:val="23"/>
                <w:szCs w:val="23"/>
              </w:rPr>
            </w:pPr>
            <w:r>
              <w:rPr>
                <w:rFonts w:hint="eastAsia" w:ascii="宋体" w:hAnsi="宋体" w:eastAsia="宋体" w:cs="宋体"/>
                <w:bCs/>
                <w:sz w:val="21"/>
                <w:szCs w:val="21"/>
              </w:rPr>
              <w:t>4</w:t>
            </w:r>
          </w:p>
        </w:tc>
        <w:tc>
          <w:tcPr>
            <w:tcW w:w="1727" w:type="dxa"/>
            <w:vMerge w:val="restart"/>
            <w:tcBorders>
              <w:top w:val="single" w:color="auto" w:sz="4" w:space="0"/>
              <w:left w:val="single" w:color="auto" w:sz="4" w:space="0"/>
              <w:right w:val="single" w:color="auto" w:sz="4" w:space="0"/>
            </w:tcBorders>
            <w:vAlign w:val="center"/>
          </w:tcPr>
          <w:p>
            <w:pPr>
              <w:spacing w:line="440" w:lineRule="exact"/>
              <w:jc w:val="center"/>
              <w:rPr>
                <w:rFonts w:ascii="宋体" w:hAnsi="宋体" w:eastAsia="宋体" w:cs="宋体"/>
                <w:bCs/>
                <w:sz w:val="21"/>
                <w:szCs w:val="21"/>
              </w:rPr>
            </w:pPr>
            <w:r>
              <w:rPr>
                <w:rFonts w:hint="eastAsia" w:ascii="宋体" w:hAnsi="宋体" w:eastAsia="宋体" w:cs="宋体"/>
                <w:bCs/>
                <w:sz w:val="21"/>
                <w:szCs w:val="21"/>
              </w:rPr>
              <w:t>服务</w:t>
            </w:r>
          </w:p>
          <w:p>
            <w:pPr>
              <w:adjustRightInd/>
              <w:snapToGrid/>
              <w:spacing w:after="0"/>
              <w:jc w:val="center"/>
              <w:rPr>
                <w:rFonts w:cs="Arial" w:asciiTheme="minorEastAsia" w:hAnsiTheme="minorEastAsia" w:eastAsiaTheme="minorEastAsia"/>
                <w:bCs/>
                <w:sz w:val="23"/>
                <w:szCs w:val="23"/>
              </w:rPr>
            </w:pPr>
            <w:r>
              <w:rPr>
                <w:rFonts w:hint="eastAsia" w:ascii="宋体" w:hAnsi="宋体" w:eastAsia="宋体" w:cs="宋体"/>
                <w:bCs/>
                <w:sz w:val="21"/>
                <w:szCs w:val="21"/>
              </w:rPr>
              <w:t>（15分）</w:t>
            </w:r>
          </w:p>
        </w:tc>
        <w:tc>
          <w:tcPr>
            <w:tcW w:w="5218"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售后服务方案：售后服务体系、售后服务承诺、售后服务应答及处理时间，质保期内的售后服务范围、质保期满后的售后服务范围和收费情况、备品备件的承诺。</w:t>
            </w:r>
          </w:p>
          <w:p>
            <w:pPr>
              <w:spacing w:line="440" w:lineRule="exact"/>
              <w:rPr>
                <w:rFonts w:ascii="宋体" w:hAnsi="宋体" w:eastAsia="宋体" w:cs="宋体"/>
                <w:bCs/>
                <w:sz w:val="21"/>
                <w:szCs w:val="21"/>
              </w:rPr>
            </w:pPr>
            <w:r>
              <w:rPr>
                <w:rFonts w:hint="eastAsia" w:ascii="宋体" w:hAnsi="宋体" w:eastAsia="宋体" w:cs="宋体"/>
                <w:bCs/>
                <w:sz w:val="21"/>
                <w:szCs w:val="21"/>
              </w:rPr>
              <w:t>方案完整、合理可行的得8-10分；</w:t>
            </w:r>
          </w:p>
          <w:p>
            <w:pPr>
              <w:spacing w:line="440" w:lineRule="exact"/>
              <w:rPr>
                <w:rFonts w:ascii="宋体" w:hAnsi="宋体" w:eastAsia="宋体" w:cs="宋体"/>
                <w:bCs/>
                <w:sz w:val="21"/>
                <w:szCs w:val="21"/>
              </w:rPr>
            </w:pPr>
            <w:r>
              <w:rPr>
                <w:rFonts w:hint="eastAsia" w:ascii="宋体" w:hAnsi="宋体" w:eastAsia="宋体" w:cs="宋体"/>
                <w:bCs/>
                <w:sz w:val="21"/>
                <w:szCs w:val="21"/>
              </w:rPr>
              <w:t>方案较完整、较合理可行的得5-7分；</w:t>
            </w:r>
          </w:p>
          <w:p>
            <w:pPr>
              <w:spacing w:line="440" w:lineRule="exact"/>
              <w:rPr>
                <w:rFonts w:cs="Arial" w:asciiTheme="minorEastAsia" w:hAnsiTheme="minorEastAsia" w:eastAsiaTheme="minorEastAsia"/>
                <w:bCs/>
                <w:sz w:val="23"/>
                <w:szCs w:val="23"/>
              </w:rPr>
            </w:pPr>
            <w:r>
              <w:rPr>
                <w:rFonts w:hint="eastAsia" w:ascii="宋体" w:hAnsi="宋体" w:eastAsia="宋体" w:cs="宋体"/>
                <w:bCs/>
                <w:sz w:val="21"/>
                <w:szCs w:val="21"/>
              </w:rPr>
              <w:t>方案不完整、不合理不可行的得0-4分</w:t>
            </w:r>
          </w:p>
        </w:tc>
        <w:tc>
          <w:tcPr>
            <w:tcW w:w="903" w:type="dxa"/>
            <w:tcBorders>
              <w:top w:val="single" w:color="auto" w:sz="4" w:space="0"/>
              <w:left w:val="single" w:color="auto" w:sz="4" w:space="0"/>
              <w:right w:val="single" w:color="auto" w:sz="4" w:space="0"/>
            </w:tcBorders>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936" w:type="dxa"/>
            <w:vMerge w:val="continue"/>
            <w:tcBorders>
              <w:left w:val="single" w:color="auto" w:sz="4" w:space="0"/>
              <w:bottom w:val="single" w:color="auto" w:sz="4" w:space="0"/>
              <w:right w:val="single" w:color="auto" w:sz="4" w:space="0"/>
            </w:tcBorders>
            <w:vAlign w:val="center"/>
          </w:tcPr>
          <w:p>
            <w:pPr>
              <w:jc w:val="center"/>
              <w:rPr>
                <w:rFonts w:cs="Arial" w:asciiTheme="minorEastAsia" w:hAnsiTheme="minorEastAsia" w:eastAsiaTheme="minorEastAsia"/>
                <w:bCs/>
                <w:sz w:val="23"/>
                <w:szCs w:val="23"/>
              </w:rPr>
            </w:pPr>
          </w:p>
        </w:tc>
        <w:tc>
          <w:tcPr>
            <w:tcW w:w="1727" w:type="dxa"/>
            <w:vMerge w:val="continue"/>
            <w:tcBorders>
              <w:left w:val="single" w:color="auto" w:sz="4" w:space="0"/>
              <w:bottom w:val="single" w:color="auto" w:sz="4" w:space="0"/>
              <w:right w:val="single" w:color="auto" w:sz="4" w:space="0"/>
            </w:tcBorders>
            <w:vAlign w:val="center"/>
          </w:tcPr>
          <w:p>
            <w:pPr>
              <w:adjustRightInd/>
              <w:snapToGrid/>
              <w:spacing w:after="0"/>
              <w:rPr>
                <w:rFonts w:cs="Arial" w:asciiTheme="minorEastAsia" w:hAnsiTheme="minorEastAsia" w:eastAsiaTheme="minorEastAsia"/>
                <w:bCs/>
                <w:sz w:val="23"/>
                <w:szCs w:val="23"/>
              </w:rPr>
            </w:pPr>
          </w:p>
        </w:tc>
        <w:tc>
          <w:tcPr>
            <w:tcW w:w="5218" w:type="dxa"/>
            <w:tcBorders>
              <w:top w:val="single" w:color="auto" w:sz="4" w:space="0"/>
              <w:left w:val="single" w:color="auto" w:sz="4" w:space="0"/>
              <w:bottom w:val="single" w:color="auto" w:sz="4" w:space="0"/>
              <w:right w:val="single" w:color="auto" w:sz="4" w:space="0"/>
            </w:tcBorders>
            <w:vAlign w:val="center"/>
          </w:tcPr>
          <w:p>
            <w:pPr>
              <w:spacing w:line="440" w:lineRule="exact"/>
              <w:rPr>
                <w:rFonts w:cs="Arial" w:asciiTheme="minorEastAsia" w:hAnsiTheme="minorEastAsia" w:eastAsiaTheme="minorEastAsia"/>
                <w:bCs/>
                <w:sz w:val="23"/>
                <w:szCs w:val="23"/>
              </w:rPr>
            </w:pPr>
            <w:r>
              <w:rPr>
                <w:rFonts w:hint="eastAsia" w:ascii="宋体" w:hAnsi="宋体" w:eastAsia="宋体" w:cs="宋体"/>
                <w:bCs/>
                <w:sz w:val="21"/>
                <w:szCs w:val="21"/>
              </w:rPr>
              <w:t>培训：对买方操作、维护人员的培训方案及计划。</w:t>
            </w:r>
          </w:p>
        </w:tc>
        <w:tc>
          <w:tcPr>
            <w:tcW w:w="903" w:type="dxa"/>
            <w:tcBorders>
              <w:left w:val="single" w:color="auto" w:sz="4" w:space="0"/>
              <w:bottom w:val="single" w:color="auto" w:sz="4" w:space="0"/>
              <w:right w:val="single" w:color="auto" w:sz="4" w:space="0"/>
            </w:tcBorders>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jc w:val="center"/>
        </w:trPr>
        <w:tc>
          <w:tcPr>
            <w:tcW w:w="936"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cs="Arial" w:asciiTheme="minorEastAsia" w:hAnsiTheme="minorEastAsia" w:eastAsiaTheme="minorEastAsia"/>
                <w:bCs/>
                <w:sz w:val="23"/>
                <w:szCs w:val="23"/>
              </w:rPr>
            </w:pPr>
          </w:p>
        </w:tc>
        <w:tc>
          <w:tcPr>
            <w:tcW w:w="1727" w:type="dxa"/>
            <w:vMerge w:val="continue"/>
            <w:tcBorders>
              <w:top w:val="single" w:color="auto" w:sz="4" w:space="0"/>
              <w:left w:val="single" w:color="auto" w:sz="4" w:space="0"/>
              <w:bottom w:val="single" w:color="auto" w:sz="4" w:space="0"/>
              <w:right w:val="single" w:color="auto" w:sz="4" w:space="0"/>
            </w:tcBorders>
            <w:vAlign w:val="center"/>
          </w:tcPr>
          <w:p>
            <w:pPr>
              <w:adjustRightInd/>
              <w:snapToGrid/>
              <w:spacing w:after="0"/>
              <w:rPr>
                <w:rFonts w:cs="Arial" w:asciiTheme="minorEastAsia" w:hAnsiTheme="minorEastAsia" w:eastAsiaTheme="minorEastAsia"/>
                <w:bCs/>
                <w:sz w:val="23"/>
                <w:szCs w:val="23"/>
              </w:rPr>
            </w:pPr>
          </w:p>
        </w:tc>
        <w:tc>
          <w:tcPr>
            <w:tcW w:w="5218" w:type="dxa"/>
            <w:tcBorders>
              <w:top w:val="single" w:color="auto" w:sz="4" w:space="0"/>
              <w:left w:val="single" w:color="auto" w:sz="4" w:space="0"/>
              <w:bottom w:val="single" w:color="auto" w:sz="4" w:space="0"/>
              <w:right w:val="single" w:color="auto" w:sz="4" w:space="0"/>
            </w:tcBorders>
            <w:vAlign w:val="center"/>
          </w:tcPr>
          <w:p>
            <w:pPr>
              <w:spacing w:line="440" w:lineRule="exact"/>
              <w:rPr>
                <w:rFonts w:cs="Arial" w:asciiTheme="minorEastAsia" w:hAnsiTheme="minorEastAsia" w:eastAsiaTheme="minorEastAsia"/>
                <w:bCs/>
                <w:sz w:val="23"/>
                <w:szCs w:val="23"/>
              </w:rPr>
            </w:pPr>
            <w:r>
              <w:rPr>
                <w:rFonts w:hint="eastAsia" w:ascii="宋体" w:hAnsi="宋体" w:eastAsia="宋体" w:cs="宋体"/>
                <w:bCs/>
                <w:sz w:val="21"/>
                <w:szCs w:val="21"/>
              </w:rPr>
              <w:t>免费质保1年不得分，在此基础上每增加一年得1分，最高不超过3分。</w:t>
            </w:r>
          </w:p>
        </w:tc>
        <w:tc>
          <w:tcPr>
            <w:tcW w:w="90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jc w:val="center"/>
        </w:trPr>
        <w:tc>
          <w:tcPr>
            <w:tcW w:w="9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5</w:t>
            </w:r>
          </w:p>
        </w:tc>
        <w:tc>
          <w:tcPr>
            <w:tcW w:w="172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投标文件响应程度（4分）</w:t>
            </w:r>
          </w:p>
        </w:tc>
        <w:tc>
          <w:tcPr>
            <w:tcW w:w="5218" w:type="dxa"/>
            <w:tcBorders>
              <w:top w:val="single" w:color="auto" w:sz="4" w:space="0"/>
              <w:left w:val="single" w:color="auto" w:sz="4" w:space="0"/>
              <w:bottom w:val="single" w:color="auto" w:sz="4" w:space="0"/>
              <w:right w:val="single" w:color="auto" w:sz="4" w:space="0"/>
            </w:tcBorders>
            <w:vAlign w:val="center"/>
          </w:tcPr>
          <w:p>
            <w:pPr>
              <w:spacing w:line="360" w:lineRule="auto"/>
              <w:rPr>
                <w:rFonts w:cs="Arial" w:asciiTheme="minorEastAsia" w:hAnsiTheme="minorEastAsia" w:eastAsiaTheme="minorEastAsia"/>
                <w:bCs/>
                <w:sz w:val="23"/>
                <w:szCs w:val="23"/>
                <w:lang w:val="zh-CN"/>
              </w:rPr>
            </w:pPr>
            <w:r>
              <w:rPr>
                <w:rFonts w:hint="eastAsia" w:cs="Arial" w:asciiTheme="minorEastAsia" w:hAnsiTheme="minorEastAsia" w:eastAsiaTheme="minorEastAsia"/>
                <w:bCs/>
                <w:sz w:val="23"/>
                <w:szCs w:val="23"/>
              </w:rPr>
              <w:t>根据投标人制作的投标文件的响应情况、技术服务内容是否齐全等进行酌情给予0-4分。</w:t>
            </w:r>
          </w:p>
        </w:tc>
        <w:tc>
          <w:tcPr>
            <w:tcW w:w="90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jc w:val="center"/>
        </w:trPr>
        <w:tc>
          <w:tcPr>
            <w:tcW w:w="9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Arial" w:hAnsi="Arial" w:cs="Arial"/>
                <w:bCs/>
                <w:sz w:val="23"/>
                <w:szCs w:val="23"/>
              </w:rPr>
            </w:pPr>
            <w:r>
              <w:rPr>
                <w:rFonts w:hint="eastAsia" w:ascii="Arial" w:hAnsi="Arial" w:cs="Arial"/>
                <w:bCs/>
                <w:sz w:val="23"/>
                <w:szCs w:val="23"/>
              </w:rPr>
              <w:t>6</w:t>
            </w:r>
          </w:p>
        </w:tc>
        <w:tc>
          <w:tcPr>
            <w:tcW w:w="1727" w:type="dxa"/>
            <w:tcBorders>
              <w:top w:val="single" w:color="auto" w:sz="4" w:space="0"/>
              <w:left w:val="single" w:color="auto" w:sz="4" w:space="0"/>
              <w:bottom w:val="single" w:color="auto" w:sz="4" w:space="0"/>
              <w:right w:val="single" w:color="auto" w:sz="4" w:space="0"/>
            </w:tcBorders>
            <w:vAlign w:val="center"/>
          </w:tcPr>
          <w:p>
            <w:pPr>
              <w:spacing w:line="360" w:lineRule="auto"/>
              <w:ind w:right="-275" w:rightChars="-125"/>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现场样品    （20分）</w:t>
            </w:r>
          </w:p>
        </w:tc>
        <w:tc>
          <w:tcPr>
            <w:tcW w:w="5218" w:type="dxa"/>
            <w:tcBorders>
              <w:top w:val="single" w:color="auto" w:sz="4" w:space="0"/>
              <w:left w:val="single" w:color="auto" w:sz="4" w:space="0"/>
              <w:bottom w:val="single" w:color="auto" w:sz="4" w:space="0"/>
              <w:right w:val="single" w:color="auto" w:sz="4" w:space="0"/>
            </w:tcBorders>
            <w:vAlign w:val="center"/>
          </w:tcPr>
          <w:p>
            <w:pPr>
              <w:spacing w:line="360" w:lineRule="auto"/>
              <w:rPr>
                <w:rFonts w:cs="Arial" w:asciiTheme="minorEastAsia" w:hAnsiTheme="minorEastAsia" w:eastAsiaTheme="minorEastAsia"/>
                <w:sz w:val="23"/>
                <w:szCs w:val="23"/>
              </w:rPr>
            </w:pPr>
            <w:r>
              <w:rPr>
                <w:rFonts w:hint="eastAsia" w:cs="Arial" w:asciiTheme="minorEastAsia" w:hAnsiTheme="minorEastAsia" w:eastAsiaTheme="minorEastAsia"/>
                <w:sz w:val="23"/>
                <w:szCs w:val="23"/>
              </w:rPr>
              <w:t>评委根据投标人现场提交的样品评分：从样品的工艺、质量、选材功能满足以及系统方面样品的功能满足方面打分，提供设计新颖，功能内容权威正确，使用过程流畅，体验为优的得14-20分，一般的得7-13分，差的得0-6分。（未按要求提供样品或提供样品不全的不得分。）</w:t>
            </w:r>
          </w:p>
        </w:tc>
        <w:tc>
          <w:tcPr>
            <w:tcW w:w="90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20</w:t>
            </w:r>
          </w:p>
        </w:tc>
      </w:tr>
    </w:tbl>
    <w:p>
      <w:pPr>
        <w:pStyle w:val="2"/>
        <w:ind w:left="1320"/>
        <w:rPr>
          <w:rFonts w:asciiTheme="minorEastAsia" w:hAnsiTheme="minorEastAsia" w:eastAsiaTheme="minorEastAsia"/>
          <w:bCs/>
          <w:sz w:val="28"/>
          <w:szCs w:val="28"/>
        </w:rPr>
      </w:pPr>
    </w:p>
    <w:p>
      <w:pPr>
        <w:rPr>
          <w:rFonts w:asciiTheme="minorEastAsia" w:hAnsiTheme="minorEastAsia" w:eastAsiaTheme="minorEastAsia"/>
          <w:bCs/>
          <w:sz w:val="28"/>
          <w:szCs w:val="28"/>
        </w:rPr>
      </w:pPr>
    </w:p>
    <w:p>
      <w:pPr>
        <w:pStyle w:val="2"/>
        <w:ind w:left="1320"/>
      </w:pPr>
    </w:p>
    <w:bookmarkEnd w:id="165"/>
    <w:p>
      <w:pPr>
        <w:pStyle w:val="3"/>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r>
        <w:rPr>
          <w:rFonts w:hint="eastAsia" w:ascii="宋体" w:hAnsi="宋体" w:eastAsia="宋体"/>
          <w:b/>
          <w:bCs/>
          <w:sz w:val="44"/>
        </w:rPr>
        <w:t xml:space="preserve"> </w:t>
      </w:r>
    </w:p>
    <w:p>
      <w:pPr>
        <w:jc w:val="center"/>
        <w:rPr>
          <w:rFonts w:ascii="宋体" w:hAnsi="宋体"/>
          <w:b/>
          <w:sz w:val="72"/>
        </w:rPr>
      </w:pPr>
      <w:bookmarkStart w:id="168" w:name="_Hlt26955039"/>
      <w:bookmarkEnd w:id="168"/>
      <w:bookmarkStart w:id="169" w:name="_Hlt26671244"/>
      <w:bookmarkEnd w:id="169"/>
      <w:bookmarkStart w:id="170" w:name="_Toc120614282"/>
      <w:bookmarkStart w:id="171" w:name="_Toc26554094"/>
      <w:bookmarkStart w:id="172" w:name="_Toc49090576"/>
    </w:p>
    <w:p>
      <w:pPr>
        <w:jc w:val="center"/>
        <w:rPr>
          <w:rFonts w:ascii="宋体" w:hAnsi="宋体"/>
          <w:b/>
          <w:sz w:val="72"/>
        </w:rPr>
      </w:pPr>
      <w:r>
        <w:rPr>
          <w:rFonts w:hint="eastAsia" w:ascii="宋体" w:hAnsi="宋体"/>
          <w:b/>
          <w:sz w:val="72"/>
        </w:rPr>
        <w:t>投  标  文  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 目 名 称：</w:t>
      </w:r>
    </w:p>
    <w:p>
      <w:pPr>
        <w:ind w:firstLine="1081" w:firstLineChars="300"/>
        <w:rPr>
          <w:rFonts w:ascii="宋体" w:hAnsi="宋体"/>
          <w:b/>
          <w:sz w:val="36"/>
          <w:u w:val="single"/>
        </w:rPr>
      </w:pPr>
      <w:r>
        <w:rPr>
          <w:rFonts w:hint="eastAsia" w:ascii="宋体" w:hAnsi="宋体"/>
          <w:b/>
          <w:sz w:val="36"/>
        </w:rPr>
        <w:t>招 标 编 号：</w:t>
      </w:r>
    </w:p>
    <w:p>
      <w:pPr>
        <w:rPr>
          <w:rFonts w:ascii="宋体" w:hAnsi="宋体"/>
          <w:b/>
          <w:sz w:val="36"/>
          <w:u w:val="single"/>
        </w:rPr>
      </w:pPr>
      <w:r>
        <w:rPr>
          <w:rFonts w:hint="eastAsia" w:ascii="宋体" w:hAnsi="宋体"/>
          <w:b/>
          <w:sz w:val="36"/>
        </w:rPr>
        <w:t xml:space="preserve">      投标人名称 ：</w:t>
      </w:r>
    </w:p>
    <w:p>
      <w:pPr>
        <w:rPr>
          <w:rFonts w:ascii="宋体" w:hAnsi="宋体"/>
          <w:b/>
          <w:sz w:val="36"/>
        </w:rPr>
      </w:pPr>
      <w:r>
        <w:rPr>
          <w:rFonts w:hint="eastAsia" w:ascii="宋体" w:hAnsi="宋体"/>
          <w:b/>
          <w:sz w:val="36"/>
        </w:rPr>
        <w:t xml:space="preserve">      日      期 ：</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8"/>
        <w:ind w:firstLine="0"/>
        <w:jc w:val="center"/>
        <w:rPr>
          <w:b/>
        </w:rPr>
      </w:pPr>
      <w:bookmarkStart w:id="173" w:name="_Toc517190894"/>
      <w:r>
        <w:rPr>
          <w:rFonts w:hint="eastAsia"/>
          <w:b/>
          <w:sz w:val="32"/>
        </w:rPr>
        <w:t>投标函格式</w:t>
      </w:r>
      <w:bookmarkEnd w:id="173"/>
    </w:p>
    <w:p>
      <w:pPr>
        <w:pStyle w:val="28"/>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 xml:space="preserve">根据贵方的 </w:t>
      </w:r>
      <w:r>
        <w:rPr>
          <w:rFonts w:hint="eastAsia" w:ascii="宋体" w:hAnsi="宋体"/>
          <w:kern w:val="2"/>
          <w:sz w:val="28"/>
          <w:szCs w:val="21"/>
          <w:u w:val="single"/>
        </w:rPr>
        <w:t xml:space="preserve">                     </w:t>
      </w:r>
      <w:r>
        <w:rPr>
          <w:rFonts w:hint="eastAsia" w:ascii="宋体" w:hAnsi="宋体"/>
          <w:kern w:val="2"/>
          <w:sz w:val="28"/>
          <w:szCs w:val="21"/>
        </w:rPr>
        <w:t>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w:t>
      </w:r>
      <w:r>
        <w:rPr>
          <w:rFonts w:hint="eastAsia" w:ascii="宋体" w:hAnsi="宋体"/>
          <w:kern w:val="2"/>
          <w:sz w:val="28"/>
          <w:szCs w:val="21"/>
          <w:u w:val="single"/>
        </w:rPr>
        <w:t xml:space="preserve">      </w:t>
      </w:r>
      <w:r>
        <w:rPr>
          <w:rFonts w:hint="eastAsia" w:ascii="宋体" w:hAnsi="宋体"/>
          <w:kern w:val="2"/>
          <w:sz w:val="28"/>
          <w:szCs w:val="21"/>
        </w:rPr>
        <w:t>天期满之前均具有约束力。</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8"/>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8"/>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8"/>
        <w:spacing w:before="0" w:after="0" w:line="420" w:lineRule="exact"/>
        <w:ind w:left="440" w:leftChars="200" w:firstLine="3500" w:firstLineChars="1250"/>
        <w:rPr>
          <w:rFonts w:ascii="宋体" w:hAnsi="宋体"/>
          <w:kern w:val="2"/>
          <w:sz w:val="28"/>
          <w:szCs w:val="21"/>
        </w:rPr>
      </w:pPr>
    </w:p>
    <w:p>
      <w:pPr>
        <w:pStyle w:val="28"/>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8"/>
        <w:ind w:firstLine="0"/>
        <w:jc w:val="center"/>
        <w:rPr>
          <w:b/>
          <w:sz w:val="32"/>
        </w:rPr>
      </w:pPr>
      <w:bookmarkStart w:id="174" w:name="_Toc517190895"/>
      <w:r>
        <w:rPr>
          <w:rFonts w:hint="eastAsia"/>
          <w:b/>
          <w:sz w:val="32"/>
        </w:rPr>
        <w:t>法人授权书</w:t>
      </w:r>
      <w:bookmarkEnd w:id="174"/>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 xml:space="preserve">（被授权人的姓名）为我方就 </w:t>
      </w:r>
      <w:r>
        <w:rPr>
          <w:rFonts w:hint="eastAsia" w:asciiTheme="minorEastAsia" w:hAnsiTheme="minorEastAsia" w:eastAsiaTheme="minorEastAsia"/>
          <w:szCs w:val="24"/>
          <w:u w:val="single"/>
        </w:rPr>
        <w:t xml:space="preserve">       </w:t>
      </w:r>
      <w:r>
        <w:rPr>
          <w:rFonts w:hint="eastAsia" w:asciiTheme="minorEastAsia" w:hAnsiTheme="minorEastAsia" w:eastAsiaTheme="minorEastAsia"/>
          <w:szCs w:val="24"/>
        </w:rPr>
        <w:t>项目（项目编号：</w:t>
      </w:r>
      <w:r>
        <w:rPr>
          <w:rFonts w:hint="eastAsia" w:asciiTheme="minorEastAsia" w:hAnsiTheme="minorEastAsia" w:eastAsiaTheme="minorEastAsia"/>
          <w:szCs w:val="24"/>
          <w:u w:val="single"/>
        </w:rPr>
        <w:t xml:space="preserve">       </w:t>
      </w:r>
      <w:r>
        <w:rPr>
          <w:rFonts w:hint="eastAsia" w:asciiTheme="minorEastAsia" w:hAnsiTheme="minorEastAsia" w:eastAsiaTheme="minorEastAsia"/>
          <w:szCs w:val="24"/>
        </w:rPr>
        <w:t>）采购活动的合法代理人，以本公司名义全权处理一切与该项目采购投标、合同签订等有关的事务。</w:t>
      </w: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4"/>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    _   _  </w:t>
      </w: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 xml:space="preserve">___  _________   </w:t>
      </w:r>
      <w:r>
        <w:rPr>
          <w:rFonts w:hint="eastAsia" w:asciiTheme="minorEastAsia" w:hAnsiTheme="minorEastAsia" w:eastAsiaTheme="minorEastAsia"/>
          <w:szCs w:val="24"/>
        </w:rPr>
        <w:t xml:space="preserve">     </w:t>
      </w: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4"/>
        <w:spacing w:line="360" w:lineRule="auto"/>
        <w:ind w:firstLine="560"/>
        <w:jc w:val="right"/>
        <w:rPr>
          <w:rFonts w:asciiTheme="minorEastAsia" w:hAnsiTheme="minorEastAsia" w:eastAsiaTheme="minorEastAsia"/>
          <w:szCs w:val="24"/>
        </w:rPr>
      </w:pP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4"/>
        <w:spacing w:line="360" w:lineRule="auto"/>
        <w:ind w:firstLine="560"/>
        <w:jc w:val="right"/>
        <w:rPr>
          <w:rFonts w:asciiTheme="minorEastAsia" w:hAnsiTheme="minorEastAsia" w:eastAsiaTheme="minorEastAsia"/>
          <w:szCs w:val="24"/>
        </w:rPr>
      </w:pPr>
    </w:p>
    <w:p>
      <w:pPr>
        <w:pStyle w:val="44"/>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6"/>
        <w:rPr>
          <w:rFonts w:asciiTheme="minorEastAsia" w:hAnsiTheme="minorEastAsia" w:eastAsiaTheme="minorEastAsia"/>
          <w:sz w:val="22"/>
        </w:rPr>
      </w:pPr>
      <w:bookmarkStart w:id="175" w:name="_Hlt26671380"/>
      <w:bookmarkEnd w:id="175"/>
      <w:bookmarkStart w:id="176" w:name="_Hlt26955070"/>
      <w:bookmarkEnd w:id="176"/>
      <w:bookmarkStart w:id="177" w:name="_格式3__银行出具的资信证明"/>
      <w:bookmarkEnd w:id="177"/>
    </w:p>
    <w:p>
      <w:pPr>
        <w:pStyle w:val="4"/>
        <w:rPr>
          <w:rFonts w:asciiTheme="minorEastAsia" w:hAnsiTheme="minorEastAsia" w:eastAsiaTheme="minorEastAsia"/>
          <w:sz w:val="36"/>
        </w:rPr>
      </w:pPr>
    </w:p>
    <w:p>
      <w:pPr>
        <w:pStyle w:val="28"/>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18"/>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8"/>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8"/>
        <w:ind w:firstLine="0"/>
        <w:jc w:val="center"/>
        <w:rPr>
          <w:b/>
          <w:sz w:val="32"/>
        </w:rPr>
      </w:pPr>
      <w:r>
        <w:rPr>
          <w:rFonts w:hint="eastAsia"/>
          <w:b/>
          <w:sz w:val="32"/>
        </w:rPr>
        <w:t>投标产品配置及分项报价表</w:t>
      </w: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w:t>
      </w:r>
    </w:p>
    <w:tbl>
      <w:tblPr>
        <w:tblStyle w:val="18"/>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6"/>
      </w:pPr>
    </w:p>
    <w:bookmarkEnd w:id="179"/>
    <w:p>
      <w:pPr>
        <w:pStyle w:val="28"/>
        <w:ind w:firstLine="0"/>
        <w:rPr>
          <w:rFonts w:asciiTheme="minorEastAsia" w:hAnsiTheme="minorEastAsia" w:eastAsiaTheme="minorEastAsia"/>
          <w:sz w:val="28"/>
          <w:szCs w:val="28"/>
        </w:rPr>
      </w:pPr>
    </w:p>
    <w:p>
      <w:pPr>
        <w:pStyle w:val="28"/>
        <w:ind w:firstLine="0"/>
        <w:rPr>
          <w:rFonts w:asciiTheme="minorEastAsia" w:hAnsiTheme="minorEastAsia" w:eastAsiaTheme="minorEastAsia"/>
          <w:sz w:val="28"/>
          <w:szCs w:val="28"/>
        </w:rPr>
      </w:pPr>
    </w:p>
    <w:p>
      <w:pPr>
        <w:pStyle w:val="28"/>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8"/>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财务报表等</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pStyle w:val="28"/>
        <w:ind w:firstLine="0"/>
        <w:rPr>
          <w:rFonts w:asciiTheme="minorEastAsia" w:hAnsiTheme="minorEastAsia" w:eastAsiaTheme="minorEastAsia"/>
          <w:sz w:val="28"/>
          <w:szCs w:val="28"/>
        </w:rPr>
      </w:pPr>
    </w:p>
    <w:p>
      <w:pPr>
        <w:pStyle w:val="28"/>
        <w:ind w:firstLine="0"/>
        <w:rPr>
          <w:rFonts w:asciiTheme="minorEastAsia" w:hAnsiTheme="minorEastAsia" w:eastAsiaTheme="minorEastAsia"/>
          <w:sz w:val="28"/>
          <w:szCs w:val="28"/>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30" w:lineRule="atLeas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p>
    <w:p>
      <w:pPr>
        <w:pStyle w:val="10"/>
        <w:spacing w:before="120" w:after="120" w:line="330" w:lineRule="atLeast"/>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                          地址：</w:t>
      </w:r>
    </w:p>
    <w:p>
      <w:pPr>
        <w:pStyle w:val="10"/>
        <w:spacing w:before="120" w:after="120" w:line="330" w:lineRule="atLeast"/>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                      联系方式：</w:t>
      </w:r>
    </w:p>
    <w:p>
      <w:pPr>
        <w:pStyle w:val="10"/>
        <w:spacing w:before="120" w:after="120" w:line="330" w:lineRule="atLeas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30" w:lineRule="atLeas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18"/>
        <w:tblW w:w="8522" w:type="dxa"/>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33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33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33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规格型号（品牌）</w:t>
            </w:r>
          </w:p>
        </w:tc>
        <w:tc>
          <w:tcPr>
            <w:tcW w:w="682" w:type="dxa"/>
            <w:tcBorders>
              <w:top w:val="single" w:color="auto" w:sz="18" w:space="0"/>
              <w:bottom w:val="single" w:color="auto" w:sz="18" w:space="0"/>
            </w:tcBorders>
            <w:shd w:val="pct10" w:color="auto" w:fill="FFFFFF"/>
            <w:vAlign w:val="center"/>
          </w:tcPr>
          <w:p>
            <w:pPr>
              <w:spacing w:line="33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33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spacing w:line="33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33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33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30" w:lineRule="atLeast"/>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33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3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30" w:lineRule="atLeast"/>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spacing w:line="330" w:lineRule="atLeast"/>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hint="eastAsia" w:asciiTheme="minorEastAsia" w:hAnsiTheme="minorEastAsia" w:eastAsiaTheme="minorEastAsia"/>
                <w:sz w:val="24"/>
                <w:szCs w:val="24"/>
              </w:rPr>
              <w:t>合计（小写）：元</w:t>
            </w:r>
          </w:p>
          <w:p>
            <w:pPr>
              <w:spacing w:line="330" w:lineRule="atLeast"/>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30" w:lineRule="atLeas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30" w:lineRule="atLeas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w:t>
      </w:r>
      <w:r>
        <w:rPr>
          <w:rFonts w:hint="eastAsia" w:asciiTheme="minorEastAsia" w:hAnsiTheme="minorEastAsia" w:eastAsiaTheme="minorEastAsia"/>
          <w:sz w:val="24"/>
          <w:szCs w:val="28"/>
        </w:rPr>
        <w:t>（请根据实际情况选择和修改）</w:t>
      </w:r>
    </w:p>
    <w:p>
      <w:pPr>
        <w:pStyle w:val="10"/>
        <w:spacing w:before="120" w:after="120" w:line="330" w:lineRule="atLeas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A</w:t>
      </w:r>
      <w:r>
        <w:rPr>
          <w:rFonts w:hint="eastAsia" w:asciiTheme="minorEastAsia" w:hAnsiTheme="minorEastAsia" w:eastAsiaTheme="minorEastAsia"/>
          <w:sz w:val="24"/>
          <w:szCs w:val="28"/>
        </w:rPr>
        <w:t>【</w:t>
      </w:r>
      <w:r>
        <w:rPr>
          <w:rFonts w:asciiTheme="minorEastAsia" w:hAnsiTheme="minorEastAsia" w:eastAsiaTheme="minorEastAsia"/>
          <w:sz w:val="24"/>
          <w:szCs w:val="28"/>
        </w:rPr>
        <w:t>国产设备</w:t>
      </w:r>
      <w:r>
        <w:rPr>
          <w:rFonts w:hint="eastAsia" w:asciiTheme="minorEastAsia" w:hAnsiTheme="minorEastAsia" w:eastAsiaTheme="minorEastAsia"/>
          <w:sz w:val="24"/>
          <w:szCs w:val="28"/>
        </w:rPr>
        <w:t>及进口设备（非免税）】：货物交付且安装、调试后，并通过验收后一周内甲方支付合同总金额的100%，付款之前需收到乙方开具的合法有效的相应全额发票。</w:t>
      </w:r>
    </w:p>
    <w:p>
      <w:pPr>
        <w:pStyle w:val="10"/>
        <w:spacing w:before="120" w:after="120" w:line="330" w:lineRule="atLeas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B</w:t>
      </w:r>
      <w:r>
        <w:rPr>
          <w:rFonts w:hint="eastAsia" w:asciiTheme="minorEastAsia" w:hAnsiTheme="minorEastAsia" w:eastAsiaTheme="minorEastAsia"/>
          <w:sz w:val="24"/>
          <w:szCs w:val="28"/>
        </w:rPr>
        <w:t>【进口设备（免税）】</w:t>
      </w:r>
      <w:r>
        <w:rPr>
          <w:rFonts w:asciiTheme="minorEastAsia" w:hAnsiTheme="minorEastAsia" w:eastAsiaTheme="minorEastAsia"/>
          <w:sz w:val="24"/>
          <w:szCs w:val="28"/>
        </w:rPr>
        <w:t>：根据委托代理进口协议，甲方与外贸代理公司</w:t>
      </w:r>
      <w:r>
        <w:rPr>
          <w:rFonts w:hint="eastAsia" w:asciiTheme="minorEastAsia" w:hAnsiTheme="minorEastAsia" w:eastAsiaTheme="minorEastAsia"/>
          <w:sz w:val="24"/>
          <w:szCs w:val="28"/>
        </w:rPr>
        <w:t>(</w:t>
      </w:r>
      <w:r>
        <w:rPr>
          <w:rFonts w:hint="eastAsia"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rPr>
        <w:t>)</w:t>
      </w:r>
      <w:r>
        <w:rPr>
          <w:rFonts w:asciiTheme="minorEastAsia" w:hAnsiTheme="minorEastAsia" w:eastAsiaTheme="minorEastAsia"/>
          <w:sz w:val="24"/>
          <w:szCs w:val="28"/>
        </w:rPr>
        <w:t>进行结算。</w:t>
      </w:r>
    </w:p>
    <w:p>
      <w:pPr>
        <w:pStyle w:val="10"/>
        <w:spacing w:before="120" w:after="120" w:line="330" w:lineRule="atLeas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30" w:lineRule="atLeas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30" w:lineRule="atLeast"/>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p>
    <w:p>
      <w:pPr>
        <w:pStyle w:val="10"/>
        <w:spacing w:before="120" w:after="120" w:line="330" w:lineRule="atLeast"/>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30" w:lineRule="atLeast"/>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30" w:lineRule="atLeas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30" w:lineRule="atLeast"/>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p>
    <w:p>
      <w:pPr>
        <w:pStyle w:val="10"/>
        <w:spacing w:before="120" w:after="120" w:line="330" w:lineRule="atLeas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30" w:lineRule="atLeas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30" w:lineRule="atLeas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30" w:lineRule="atLeas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30" w:lineRule="atLeas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30" w:lineRule="atLeas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30" w:lineRule="atLeas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30" w:lineRule="atLeas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30" w:lineRule="atLeas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30" w:lineRule="atLeas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30" w:lineRule="atLeas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30" w:lineRule="atLeas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30" w:lineRule="atLeas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30" w:lineRule="atLeast"/>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30" w:lineRule="atLeas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30" w:lineRule="atLeas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30" w:lineRule="atLeast"/>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30" w:lineRule="atLeas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30" w:lineRule="atLeas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30" w:lineRule="atLeas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30" w:lineRule="atLeas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30" w:lineRule="atLeas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30" w:lineRule="atLeast"/>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30" w:lineRule="atLeas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30" w:lineRule="atLeas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30" w:lineRule="atLeas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30" w:lineRule="atLeas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30" w:lineRule="atLeas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30" w:lineRule="atLeas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30" w:lineRule="atLeas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30" w:lineRule="atLeas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30" w:lineRule="atLeas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30" w:lineRule="atLeas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30" w:lineRule="atLeas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30" w:lineRule="atLeas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30" w:lineRule="atLeas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30" w:lineRule="atLeas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30" w:lineRule="atLeas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30" w:lineRule="atLeas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30" w:lineRule="atLeas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30" w:lineRule="atLeas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30" w:lineRule="atLeas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30" w:lineRule="atLeas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30" w:lineRule="atLeas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30" w:lineRule="atLeas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甲方伍份，乙方壹份，</w:t>
      </w:r>
      <w:r>
        <w:rPr>
          <w:rFonts w:asciiTheme="minorEastAsia" w:hAnsiTheme="minorEastAsia" w:eastAsiaTheme="minorEastAsia"/>
          <w:sz w:val="24"/>
          <w:szCs w:val="24"/>
        </w:rPr>
        <w:t>具有同等法律效力。</w:t>
      </w:r>
    </w:p>
    <w:p>
      <w:pPr>
        <w:pStyle w:val="10"/>
        <w:spacing w:before="120" w:after="120" w:line="330" w:lineRule="atLeast"/>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p>
    <w:p>
      <w:pPr>
        <w:pStyle w:val="10"/>
        <w:spacing w:before="120" w:after="120" w:line="330" w:lineRule="atLeast"/>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30" w:lineRule="atLeast"/>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30" w:lineRule="atLeast"/>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30" w:lineRule="atLeast"/>
        <w:rPr>
          <w:rFonts w:asciiTheme="minorEastAsia" w:hAnsiTheme="minorEastAsia" w:eastAsiaTheme="minorEastAsia"/>
          <w:sz w:val="24"/>
          <w:szCs w:val="28"/>
        </w:rPr>
      </w:pPr>
      <w:r>
        <w:rPr>
          <w:rFonts w:hint="eastAsia" w:asciiTheme="minorEastAsia" w:hAnsiTheme="minorEastAsia" w:eastAsiaTheme="minorEastAsia"/>
          <w:sz w:val="24"/>
          <w:szCs w:val="28"/>
        </w:rPr>
        <w:t>联系电话：                                  联系电话：</w:t>
      </w:r>
    </w:p>
    <w:p>
      <w:pPr>
        <w:pStyle w:val="28"/>
        <w:ind w:firstLine="0"/>
        <w:rPr>
          <w:rFonts w:asciiTheme="minorEastAsia" w:hAnsiTheme="minorEastAsia" w:eastAsiaTheme="minorEastAsia"/>
          <w:sz w:val="28"/>
          <w:szCs w:val="28"/>
        </w:rPr>
      </w:pP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Fonts w:ascii="宋体" w:hAnsi="宋体"/>
      </w:rPr>
    </w:pPr>
    <w:r>
      <w:rPr>
        <w:rFonts w:ascii="宋体" w:hAnsi="宋体"/>
      </w:rPr>
      <w:fldChar w:fldCharType="begin"/>
    </w:r>
    <w:r>
      <w:rPr>
        <w:rStyle w:val="20"/>
        <w:rFonts w:ascii="宋体" w:hAnsi="宋体"/>
      </w:rPr>
      <w:instrText xml:space="preserve">PAGE  </w:instrText>
    </w:r>
    <w:r>
      <w:rPr>
        <w:rFonts w:ascii="宋体" w:hAnsi="宋体"/>
      </w:rPr>
      <w:fldChar w:fldCharType="separate"/>
    </w:r>
    <w:r>
      <w:rPr>
        <w:rStyle w:val="20"/>
        <w:rFonts w:ascii="宋体" w:hAnsi="宋体"/>
      </w:rPr>
      <w:t>19</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Pr>
    </w:pPr>
    <w:r>
      <w:fldChar w:fldCharType="begin"/>
    </w:r>
    <w:r>
      <w:rPr>
        <w:rStyle w:val="20"/>
      </w:rPr>
      <w:instrText xml:space="preserve">PAGE  </w:instrText>
    </w:r>
    <w:r>
      <w:fldChar w:fldCharType="separate"/>
    </w:r>
    <w:r>
      <w:rPr>
        <w:rStyle w:val="20"/>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4017D"/>
    <w:multiLevelType w:val="multilevel"/>
    <w:tmpl w:val="0D04017D"/>
    <w:lvl w:ilvl="0" w:tentative="0">
      <w:start w:val="1"/>
      <w:numFmt w:val="decimal"/>
      <w:lvlText w:val="%1"/>
      <w:lvlJc w:val="left"/>
      <w:pPr>
        <w:ind w:left="501" w:hanging="360"/>
      </w:pPr>
      <w:rPr>
        <w:rFonts w:hint="default"/>
      </w:rPr>
    </w:lvl>
    <w:lvl w:ilvl="1" w:tentative="0">
      <w:start w:val="1"/>
      <w:numFmt w:val="decimal"/>
      <w:lvlText w:val="（%2）"/>
      <w:lvlJc w:val="left"/>
      <w:pPr>
        <w:ind w:left="704" w:hanging="420"/>
      </w:pPr>
      <w:rPr>
        <w:rFonts w:hint="default" w:ascii="Calibri" w:hAnsi="Calibri" w:eastAsia="宋体"/>
        <w:b w:val="0"/>
        <w:i w:val="0"/>
        <w:snapToGrid w:val="0"/>
        <w:spacing w:val="0"/>
        <w:w w:val="100"/>
        <w:kern w:val="0"/>
        <w:sz w:val="24"/>
      </w:rPr>
    </w:lvl>
    <w:lvl w:ilvl="2" w:tentative="0">
      <w:start w:val="1"/>
      <w:numFmt w:val="lowerRoman"/>
      <w:lvlText w:val="%3."/>
      <w:lvlJc w:val="right"/>
      <w:pPr>
        <w:ind w:left="1470" w:hanging="420"/>
      </w:pPr>
    </w:lvl>
    <w:lvl w:ilvl="3" w:tentative="0">
      <w:start w:val="1"/>
      <w:numFmt w:val="decimal"/>
      <w:lvlText w:val="%4."/>
      <w:lvlJc w:val="left"/>
      <w:pPr>
        <w:ind w:left="1890" w:hanging="420"/>
      </w:pPr>
    </w:lvl>
    <w:lvl w:ilvl="4" w:tentative="0">
      <w:start w:val="1"/>
      <w:numFmt w:val="lowerLetter"/>
      <w:lvlText w:val="%5)"/>
      <w:lvlJc w:val="left"/>
      <w:pPr>
        <w:ind w:left="2310" w:hanging="420"/>
      </w:pPr>
    </w:lvl>
    <w:lvl w:ilvl="5" w:tentative="0">
      <w:start w:val="1"/>
      <w:numFmt w:val="lowerRoman"/>
      <w:lvlText w:val="%6."/>
      <w:lvlJc w:val="right"/>
      <w:pPr>
        <w:ind w:left="2730" w:hanging="420"/>
      </w:pPr>
    </w:lvl>
    <w:lvl w:ilvl="6" w:tentative="0">
      <w:start w:val="1"/>
      <w:numFmt w:val="decimal"/>
      <w:lvlText w:val="%7."/>
      <w:lvlJc w:val="left"/>
      <w:pPr>
        <w:ind w:left="3150" w:hanging="420"/>
      </w:pPr>
    </w:lvl>
    <w:lvl w:ilvl="7" w:tentative="0">
      <w:start w:val="1"/>
      <w:numFmt w:val="lowerLetter"/>
      <w:lvlText w:val="%8)"/>
      <w:lvlJc w:val="left"/>
      <w:pPr>
        <w:ind w:left="3570" w:hanging="420"/>
      </w:pPr>
    </w:lvl>
    <w:lvl w:ilvl="8" w:tentative="0">
      <w:start w:val="1"/>
      <w:numFmt w:val="lowerRoman"/>
      <w:lvlText w:val="%9."/>
      <w:lvlJc w:val="right"/>
      <w:pPr>
        <w:ind w:left="3990" w:hanging="420"/>
      </w:pPr>
    </w:lvl>
  </w:abstractNum>
  <w:abstractNum w:abstractNumId="1">
    <w:nsid w:val="3B9911B1"/>
    <w:multiLevelType w:val="multilevel"/>
    <w:tmpl w:val="3B9911B1"/>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C7E0EE5"/>
    <w:multiLevelType w:val="multilevel"/>
    <w:tmpl w:val="5C7E0EE5"/>
    <w:lvl w:ilvl="0" w:tentative="0">
      <w:start w:val="1"/>
      <w:numFmt w:val="chineseCountingThousand"/>
      <w:pStyle w:val="33"/>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690DAC44"/>
    <w:multiLevelType w:val="singleLevel"/>
    <w:tmpl w:val="690DAC44"/>
    <w:lvl w:ilvl="0" w:tentative="0">
      <w:start w:val="3"/>
      <w:numFmt w:val="chineseCounting"/>
      <w:suff w:val="nothing"/>
      <w:lvlText w:val="（%1）"/>
      <w:lvlJc w:val="left"/>
      <w:rPr>
        <w:rFonts w:hint="eastAsia"/>
      </w:rPr>
    </w:lvl>
  </w:abstractNum>
  <w:abstractNum w:abstractNumId="4">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noPunctuationKerning w:val="1"/>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2"/>
  </w:compat>
  <w:docVars>
    <w:docVar w:name="KY_MEDREF_DOCUID" w:val="{3EB69C5B-E83C-477F-B726-F07778CBD8CE}"/>
    <w:docVar w:name="KY_MEDREF_VERSION" w:val="3"/>
  </w:docVars>
  <w:rsids>
    <w:rsidRoot w:val="00D31D50"/>
    <w:rsid w:val="00000B36"/>
    <w:rsid w:val="00026CA5"/>
    <w:rsid w:val="00045531"/>
    <w:rsid w:val="000458DB"/>
    <w:rsid w:val="00046D67"/>
    <w:rsid w:val="000504CD"/>
    <w:rsid w:val="000508AB"/>
    <w:rsid w:val="00050D10"/>
    <w:rsid w:val="00053D2D"/>
    <w:rsid w:val="00053D8C"/>
    <w:rsid w:val="0005451A"/>
    <w:rsid w:val="00056372"/>
    <w:rsid w:val="0005729D"/>
    <w:rsid w:val="00062EBC"/>
    <w:rsid w:val="00063E5E"/>
    <w:rsid w:val="00070968"/>
    <w:rsid w:val="00075408"/>
    <w:rsid w:val="0008466D"/>
    <w:rsid w:val="00086A59"/>
    <w:rsid w:val="00090C36"/>
    <w:rsid w:val="0009546A"/>
    <w:rsid w:val="000A4EF6"/>
    <w:rsid w:val="000B08EC"/>
    <w:rsid w:val="000B0E83"/>
    <w:rsid w:val="000B538B"/>
    <w:rsid w:val="000C3635"/>
    <w:rsid w:val="000C6FE5"/>
    <w:rsid w:val="000C7C51"/>
    <w:rsid w:val="000D0163"/>
    <w:rsid w:val="000E2C56"/>
    <w:rsid w:val="000F0270"/>
    <w:rsid w:val="000F4CEA"/>
    <w:rsid w:val="00100D01"/>
    <w:rsid w:val="00101A8A"/>
    <w:rsid w:val="0012092A"/>
    <w:rsid w:val="001225B3"/>
    <w:rsid w:val="00124A3C"/>
    <w:rsid w:val="00125C10"/>
    <w:rsid w:val="00141840"/>
    <w:rsid w:val="0016026B"/>
    <w:rsid w:val="00160A9B"/>
    <w:rsid w:val="001647DF"/>
    <w:rsid w:val="00166953"/>
    <w:rsid w:val="001674B0"/>
    <w:rsid w:val="00167738"/>
    <w:rsid w:val="00170D4A"/>
    <w:rsid w:val="0018443B"/>
    <w:rsid w:val="00193521"/>
    <w:rsid w:val="00194D6A"/>
    <w:rsid w:val="001A049C"/>
    <w:rsid w:val="001B6A78"/>
    <w:rsid w:val="001C20DD"/>
    <w:rsid w:val="001C2E89"/>
    <w:rsid w:val="001C4B26"/>
    <w:rsid w:val="001C64AC"/>
    <w:rsid w:val="001D0768"/>
    <w:rsid w:val="001D281C"/>
    <w:rsid w:val="001D5A6A"/>
    <w:rsid w:val="001E030A"/>
    <w:rsid w:val="001E1FD2"/>
    <w:rsid w:val="001E4020"/>
    <w:rsid w:val="001E73B5"/>
    <w:rsid w:val="001F4F63"/>
    <w:rsid w:val="0020432E"/>
    <w:rsid w:val="002070F5"/>
    <w:rsid w:val="00232127"/>
    <w:rsid w:val="002327D4"/>
    <w:rsid w:val="00237887"/>
    <w:rsid w:val="00244DA0"/>
    <w:rsid w:val="0025535E"/>
    <w:rsid w:val="00266C11"/>
    <w:rsid w:val="00272CB4"/>
    <w:rsid w:val="00295368"/>
    <w:rsid w:val="002A4DD3"/>
    <w:rsid w:val="002B7202"/>
    <w:rsid w:val="002D2055"/>
    <w:rsid w:val="002E0FA7"/>
    <w:rsid w:val="002F1C1E"/>
    <w:rsid w:val="002F20E4"/>
    <w:rsid w:val="002F225B"/>
    <w:rsid w:val="002F6027"/>
    <w:rsid w:val="00300F88"/>
    <w:rsid w:val="00304B4B"/>
    <w:rsid w:val="00306735"/>
    <w:rsid w:val="0031681A"/>
    <w:rsid w:val="00323B43"/>
    <w:rsid w:val="0032616D"/>
    <w:rsid w:val="00327947"/>
    <w:rsid w:val="00336542"/>
    <w:rsid w:val="00341D73"/>
    <w:rsid w:val="00344696"/>
    <w:rsid w:val="003525A5"/>
    <w:rsid w:val="003538BE"/>
    <w:rsid w:val="003548BA"/>
    <w:rsid w:val="0036247E"/>
    <w:rsid w:val="0036460C"/>
    <w:rsid w:val="00365285"/>
    <w:rsid w:val="0037490B"/>
    <w:rsid w:val="0038270D"/>
    <w:rsid w:val="00387705"/>
    <w:rsid w:val="00397BA9"/>
    <w:rsid w:val="003B1427"/>
    <w:rsid w:val="003B2DF7"/>
    <w:rsid w:val="003B3CF8"/>
    <w:rsid w:val="003C4A30"/>
    <w:rsid w:val="003D2715"/>
    <w:rsid w:val="003D37D8"/>
    <w:rsid w:val="003E2F0D"/>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76FD6"/>
    <w:rsid w:val="00477C2E"/>
    <w:rsid w:val="004808C6"/>
    <w:rsid w:val="004A4F2D"/>
    <w:rsid w:val="004B2157"/>
    <w:rsid w:val="004E0EEC"/>
    <w:rsid w:val="004E3402"/>
    <w:rsid w:val="004F54A0"/>
    <w:rsid w:val="004F5C9E"/>
    <w:rsid w:val="004F6DEC"/>
    <w:rsid w:val="004F7103"/>
    <w:rsid w:val="00511B86"/>
    <w:rsid w:val="005129DB"/>
    <w:rsid w:val="00512EAE"/>
    <w:rsid w:val="00523B5F"/>
    <w:rsid w:val="005253AD"/>
    <w:rsid w:val="00557F99"/>
    <w:rsid w:val="0057236C"/>
    <w:rsid w:val="0057580C"/>
    <w:rsid w:val="00575FC2"/>
    <w:rsid w:val="0058115B"/>
    <w:rsid w:val="00582807"/>
    <w:rsid w:val="00582977"/>
    <w:rsid w:val="005866DD"/>
    <w:rsid w:val="00590D7C"/>
    <w:rsid w:val="0059317B"/>
    <w:rsid w:val="00596F67"/>
    <w:rsid w:val="005B00B9"/>
    <w:rsid w:val="005B44B4"/>
    <w:rsid w:val="005C005E"/>
    <w:rsid w:val="005C66D3"/>
    <w:rsid w:val="005D2E1F"/>
    <w:rsid w:val="005E070E"/>
    <w:rsid w:val="005F103C"/>
    <w:rsid w:val="0060453F"/>
    <w:rsid w:val="006045FD"/>
    <w:rsid w:val="006073C6"/>
    <w:rsid w:val="006160DD"/>
    <w:rsid w:val="006218B4"/>
    <w:rsid w:val="006411FE"/>
    <w:rsid w:val="006600C0"/>
    <w:rsid w:val="006621C4"/>
    <w:rsid w:val="00663D89"/>
    <w:rsid w:val="00681928"/>
    <w:rsid w:val="00681F07"/>
    <w:rsid w:val="00695BF8"/>
    <w:rsid w:val="006977C3"/>
    <w:rsid w:val="006A096A"/>
    <w:rsid w:val="006B0EB6"/>
    <w:rsid w:val="006B4013"/>
    <w:rsid w:val="006B6C40"/>
    <w:rsid w:val="006C6B1D"/>
    <w:rsid w:val="006D1B0D"/>
    <w:rsid w:val="006E1848"/>
    <w:rsid w:val="006E24A3"/>
    <w:rsid w:val="006E7A99"/>
    <w:rsid w:val="006F283A"/>
    <w:rsid w:val="00705F93"/>
    <w:rsid w:val="00710360"/>
    <w:rsid w:val="00710E53"/>
    <w:rsid w:val="0071106B"/>
    <w:rsid w:val="007178CD"/>
    <w:rsid w:val="00722B49"/>
    <w:rsid w:val="00725153"/>
    <w:rsid w:val="00726D9C"/>
    <w:rsid w:val="00731E48"/>
    <w:rsid w:val="00746B56"/>
    <w:rsid w:val="0074740B"/>
    <w:rsid w:val="00747556"/>
    <w:rsid w:val="007543D9"/>
    <w:rsid w:val="00754FBF"/>
    <w:rsid w:val="00755373"/>
    <w:rsid w:val="00755FCB"/>
    <w:rsid w:val="00757D3B"/>
    <w:rsid w:val="00782E63"/>
    <w:rsid w:val="00791FC9"/>
    <w:rsid w:val="00792482"/>
    <w:rsid w:val="0079316D"/>
    <w:rsid w:val="007947E9"/>
    <w:rsid w:val="007A58F8"/>
    <w:rsid w:val="007B3D32"/>
    <w:rsid w:val="007E0F09"/>
    <w:rsid w:val="007E2F52"/>
    <w:rsid w:val="007E466E"/>
    <w:rsid w:val="007E5C50"/>
    <w:rsid w:val="007F1718"/>
    <w:rsid w:val="007F18E6"/>
    <w:rsid w:val="007F226B"/>
    <w:rsid w:val="00801146"/>
    <w:rsid w:val="00813B97"/>
    <w:rsid w:val="008324FE"/>
    <w:rsid w:val="0083334C"/>
    <w:rsid w:val="00833AE1"/>
    <w:rsid w:val="00834323"/>
    <w:rsid w:val="00841379"/>
    <w:rsid w:val="0085068C"/>
    <w:rsid w:val="00853556"/>
    <w:rsid w:val="008545FA"/>
    <w:rsid w:val="008564E0"/>
    <w:rsid w:val="00863149"/>
    <w:rsid w:val="00881E8B"/>
    <w:rsid w:val="00891674"/>
    <w:rsid w:val="008940B1"/>
    <w:rsid w:val="008B154E"/>
    <w:rsid w:val="008B7726"/>
    <w:rsid w:val="008E0843"/>
    <w:rsid w:val="008E6860"/>
    <w:rsid w:val="008F3684"/>
    <w:rsid w:val="008F5952"/>
    <w:rsid w:val="008F6FC4"/>
    <w:rsid w:val="008F7663"/>
    <w:rsid w:val="00901E4A"/>
    <w:rsid w:val="009124F7"/>
    <w:rsid w:val="00913A47"/>
    <w:rsid w:val="00914B43"/>
    <w:rsid w:val="00917C9A"/>
    <w:rsid w:val="00922C31"/>
    <w:rsid w:val="009330FF"/>
    <w:rsid w:val="00937A6C"/>
    <w:rsid w:val="00944F3E"/>
    <w:rsid w:val="00953E8C"/>
    <w:rsid w:val="00954E6B"/>
    <w:rsid w:val="009569A2"/>
    <w:rsid w:val="0097250E"/>
    <w:rsid w:val="00982CE2"/>
    <w:rsid w:val="00985BBC"/>
    <w:rsid w:val="00994DC6"/>
    <w:rsid w:val="0099642C"/>
    <w:rsid w:val="009A7A76"/>
    <w:rsid w:val="009B386E"/>
    <w:rsid w:val="009B43A1"/>
    <w:rsid w:val="009B4528"/>
    <w:rsid w:val="009B498C"/>
    <w:rsid w:val="009C30A7"/>
    <w:rsid w:val="009C69CD"/>
    <w:rsid w:val="009D140B"/>
    <w:rsid w:val="009D6181"/>
    <w:rsid w:val="009E1102"/>
    <w:rsid w:val="009E4FC4"/>
    <w:rsid w:val="009E5457"/>
    <w:rsid w:val="009E5541"/>
    <w:rsid w:val="009F148D"/>
    <w:rsid w:val="009F2B90"/>
    <w:rsid w:val="009F453D"/>
    <w:rsid w:val="00A02CA7"/>
    <w:rsid w:val="00A157F0"/>
    <w:rsid w:val="00A25E57"/>
    <w:rsid w:val="00A4464F"/>
    <w:rsid w:val="00A46E8D"/>
    <w:rsid w:val="00A478D2"/>
    <w:rsid w:val="00A56AFB"/>
    <w:rsid w:val="00A67624"/>
    <w:rsid w:val="00A719C8"/>
    <w:rsid w:val="00A754E0"/>
    <w:rsid w:val="00A811F5"/>
    <w:rsid w:val="00A84971"/>
    <w:rsid w:val="00AA10B3"/>
    <w:rsid w:val="00AA278C"/>
    <w:rsid w:val="00AB3CFF"/>
    <w:rsid w:val="00AC2325"/>
    <w:rsid w:val="00AC3CE4"/>
    <w:rsid w:val="00AD713B"/>
    <w:rsid w:val="00AE5082"/>
    <w:rsid w:val="00AE6332"/>
    <w:rsid w:val="00AF0E8F"/>
    <w:rsid w:val="00AF3ACC"/>
    <w:rsid w:val="00AF539E"/>
    <w:rsid w:val="00B06748"/>
    <w:rsid w:val="00B10D4E"/>
    <w:rsid w:val="00B14B96"/>
    <w:rsid w:val="00B300AE"/>
    <w:rsid w:val="00B32830"/>
    <w:rsid w:val="00B33A83"/>
    <w:rsid w:val="00B445BC"/>
    <w:rsid w:val="00B467E2"/>
    <w:rsid w:val="00B47081"/>
    <w:rsid w:val="00B4709A"/>
    <w:rsid w:val="00B47424"/>
    <w:rsid w:val="00B517FD"/>
    <w:rsid w:val="00B531AF"/>
    <w:rsid w:val="00B54479"/>
    <w:rsid w:val="00B65818"/>
    <w:rsid w:val="00B70A98"/>
    <w:rsid w:val="00B7298F"/>
    <w:rsid w:val="00B767A7"/>
    <w:rsid w:val="00B93218"/>
    <w:rsid w:val="00B9381E"/>
    <w:rsid w:val="00B9568F"/>
    <w:rsid w:val="00B97749"/>
    <w:rsid w:val="00B97E23"/>
    <w:rsid w:val="00BA78DC"/>
    <w:rsid w:val="00BB2734"/>
    <w:rsid w:val="00BB3582"/>
    <w:rsid w:val="00BC5C79"/>
    <w:rsid w:val="00BC7A5C"/>
    <w:rsid w:val="00BD02B4"/>
    <w:rsid w:val="00BD2AED"/>
    <w:rsid w:val="00BD6A49"/>
    <w:rsid w:val="00BD6FBD"/>
    <w:rsid w:val="00BD77ED"/>
    <w:rsid w:val="00BE7284"/>
    <w:rsid w:val="00BF10CA"/>
    <w:rsid w:val="00BF363B"/>
    <w:rsid w:val="00BF3F02"/>
    <w:rsid w:val="00BF3F2A"/>
    <w:rsid w:val="00BF688E"/>
    <w:rsid w:val="00BF6B18"/>
    <w:rsid w:val="00C00BC7"/>
    <w:rsid w:val="00C12969"/>
    <w:rsid w:val="00C13584"/>
    <w:rsid w:val="00C1690A"/>
    <w:rsid w:val="00C178FF"/>
    <w:rsid w:val="00C25A86"/>
    <w:rsid w:val="00C30C20"/>
    <w:rsid w:val="00C40E65"/>
    <w:rsid w:val="00C541CB"/>
    <w:rsid w:val="00C55166"/>
    <w:rsid w:val="00C714F0"/>
    <w:rsid w:val="00C76558"/>
    <w:rsid w:val="00C86FD4"/>
    <w:rsid w:val="00C96654"/>
    <w:rsid w:val="00CB2130"/>
    <w:rsid w:val="00CB3C11"/>
    <w:rsid w:val="00CD4D83"/>
    <w:rsid w:val="00D1587C"/>
    <w:rsid w:val="00D278D7"/>
    <w:rsid w:val="00D31D50"/>
    <w:rsid w:val="00D4211D"/>
    <w:rsid w:val="00D47DB0"/>
    <w:rsid w:val="00D5054E"/>
    <w:rsid w:val="00D53633"/>
    <w:rsid w:val="00D566E3"/>
    <w:rsid w:val="00D568B3"/>
    <w:rsid w:val="00D56CB6"/>
    <w:rsid w:val="00D61AE7"/>
    <w:rsid w:val="00D634CC"/>
    <w:rsid w:val="00D77EC9"/>
    <w:rsid w:val="00D81D23"/>
    <w:rsid w:val="00D9005C"/>
    <w:rsid w:val="00DA1746"/>
    <w:rsid w:val="00DA4334"/>
    <w:rsid w:val="00DB1721"/>
    <w:rsid w:val="00DB5FD8"/>
    <w:rsid w:val="00DC26C4"/>
    <w:rsid w:val="00DE05FA"/>
    <w:rsid w:val="00DE421A"/>
    <w:rsid w:val="00DF12D7"/>
    <w:rsid w:val="00DF16E1"/>
    <w:rsid w:val="00E011DE"/>
    <w:rsid w:val="00E015E3"/>
    <w:rsid w:val="00E12D6B"/>
    <w:rsid w:val="00E14FB9"/>
    <w:rsid w:val="00E157E7"/>
    <w:rsid w:val="00E27FD1"/>
    <w:rsid w:val="00E31BD3"/>
    <w:rsid w:val="00E33A94"/>
    <w:rsid w:val="00E34600"/>
    <w:rsid w:val="00E52BFB"/>
    <w:rsid w:val="00E537C7"/>
    <w:rsid w:val="00E53CF5"/>
    <w:rsid w:val="00E56996"/>
    <w:rsid w:val="00E57C17"/>
    <w:rsid w:val="00E75074"/>
    <w:rsid w:val="00E81B75"/>
    <w:rsid w:val="00E85DDD"/>
    <w:rsid w:val="00E8671F"/>
    <w:rsid w:val="00E95E13"/>
    <w:rsid w:val="00EA62FB"/>
    <w:rsid w:val="00EA6CDE"/>
    <w:rsid w:val="00EA72D3"/>
    <w:rsid w:val="00EB0C34"/>
    <w:rsid w:val="00EB187E"/>
    <w:rsid w:val="00EC3C23"/>
    <w:rsid w:val="00ED0853"/>
    <w:rsid w:val="00EE2837"/>
    <w:rsid w:val="00EE4B82"/>
    <w:rsid w:val="00EE7046"/>
    <w:rsid w:val="00EF69B3"/>
    <w:rsid w:val="00F04061"/>
    <w:rsid w:val="00F0419A"/>
    <w:rsid w:val="00F04CE5"/>
    <w:rsid w:val="00F14151"/>
    <w:rsid w:val="00F152B0"/>
    <w:rsid w:val="00F212D3"/>
    <w:rsid w:val="00F27EE2"/>
    <w:rsid w:val="00F30A36"/>
    <w:rsid w:val="00F34B4A"/>
    <w:rsid w:val="00F34DF9"/>
    <w:rsid w:val="00F4455E"/>
    <w:rsid w:val="00F5231B"/>
    <w:rsid w:val="00F6271C"/>
    <w:rsid w:val="00F64CC8"/>
    <w:rsid w:val="00F82939"/>
    <w:rsid w:val="00F8761F"/>
    <w:rsid w:val="00F94053"/>
    <w:rsid w:val="00F952C7"/>
    <w:rsid w:val="00F96BF5"/>
    <w:rsid w:val="00FA1FA5"/>
    <w:rsid w:val="00FA4F5F"/>
    <w:rsid w:val="00FA7B45"/>
    <w:rsid w:val="00FB608D"/>
    <w:rsid w:val="00FC0456"/>
    <w:rsid w:val="00FC3104"/>
    <w:rsid w:val="00FF44F0"/>
    <w:rsid w:val="00FF7A26"/>
    <w:rsid w:val="02020967"/>
    <w:rsid w:val="0825173E"/>
    <w:rsid w:val="085E1081"/>
    <w:rsid w:val="092B7C1B"/>
    <w:rsid w:val="0A08687F"/>
    <w:rsid w:val="0C5C1EC8"/>
    <w:rsid w:val="108171D9"/>
    <w:rsid w:val="147E113D"/>
    <w:rsid w:val="1570752F"/>
    <w:rsid w:val="171B47EE"/>
    <w:rsid w:val="17ED4398"/>
    <w:rsid w:val="1D264E48"/>
    <w:rsid w:val="1D8F1556"/>
    <w:rsid w:val="1F6D750B"/>
    <w:rsid w:val="20422340"/>
    <w:rsid w:val="2929643E"/>
    <w:rsid w:val="2A635B4F"/>
    <w:rsid w:val="2DE10EF9"/>
    <w:rsid w:val="3271763F"/>
    <w:rsid w:val="3378164D"/>
    <w:rsid w:val="39CA2C7B"/>
    <w:rsid w:val="3B984F3B"/>
    <w:rsid w:val="41261EA7"/>
    <w:rsid w:val="4E8718D2"/>
    <w:rsid w:val="50851B8F"/>
    <w:rsid w:val="539902CA"/>
    <w:rsid w:val="55544C0A"/>
    <w:rsid w:val="5E1D0155"/>
    <w:rsid w:val="619C6D39"/>
    <w:rsid w:val="64A21789"/>
    <w:rsid w:val="659B1A8D"/>
    <w:rsid w:val="681D04AD"/>
    <w:rsid w:val="712B1AD5"/>
    <w:rsid w:val="720407B7"/>
    <w:rsid w:val="725B57B7"/>
    <w:rsid w:val="74513FAC"/>
    <w:rsid w:val="782534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qFormat="1"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3">
    <w:name w:val="heading 1"/>
    <w:basedOn w:val="1"/>
    <w:next w:val="1"/>
    <w:link w:val="26"/>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4">
    <w:name w:val="heading 2"/>
    <w:basedOn w:val="1"/>
    <w:next w:val="1"/>
    <w:link w:val="40"/>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6"/>
    <w:link w:val="29"/>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7">
    <w:name w:val="heading 4"/>
    <w:basedOn w:val="1"/>
    <w:next w:val="6"/>
    <w:link w:val="30"/>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index 4"/>
    <w:basedOn w:val="1"/>
    <w:next w:val="1"/>
    <w:unhideWhenUsed/>
    <w:qFormat/>
    <w:uiPriority w:val="99"/>
    <w:pPr>
      <w:ind w:left="600" w:leftChars="600"/>
    </w:pPr>
    <w:rPr>
      <w:rFonts w:ascii="Verdana" w:hAnsi="Verdana"/>
      <w:szCs w:val="20"/>
    </w:rPr>
  </w:style>
  <w:style w:type="paragraph" w:styleId="6">
    <w:name w:val="Normal Indent"/>
    <w:basedOn w:val="1"/>
    <w:link w:val="35"/>
    <w:qFormat/>
    <w:uiPriority w:val="0"/>
    <w:pPr>
      <w:widowControl w:val="0"/>
      <w:adjustRightInd/>
      <w:snapToGrid/>
      <w:spacing w:after="0"/>
      <w:ind w:firstLine="420"/>
      <w:jc w:val="both"/>
    </w:pPr>
    <w:rPr>
      <w:rFonts w:asciiTheme="minorHAnsi" w:hAnsiTheme="minorHAnsi"/>
      <w:kern w:val="2"/>
      <w:sz w:val="21"/>
      <w:szCs w:val="21"/>
    </w:rPr>
  </w:style>
  <w:style w:type="paragraph" w:styleId="8">
    <w:name w:val="annotation text"/>
    <w:basedOn w:val="1"/>
    <w:link w:val="47"/>
    <w:semiHidden/>
    <w:unhideWhenUsed/>
    <w:qFormat/>
    <w:uiPriority w:val="99"/>
  </w:style>
  <w:style w:type="paragraph" w:styleId="9">
    <w:name w:val="Body Text"/>
    <w:basedOn w:val="1"/>
    <w:link w:val="45"/>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9"/>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6"/>
    <w:semiHidden/>
    <w:unhideWhenUsed/>
    <w:qFormat/>
    <w:uiPriority w:val="99"/>
    <w:pPr>
      <w:spacing w:after="0"/>
    </w:pPr>
    <w:rPr>
      <w:sz w:val="18"/>
      <w:szCs w:val="18"/>
    </w:rPr>
  </w:style>
  <w:style w:type="paragraph" w:styleId="12">
    <w:name w:val="footer"/>
    <w:basedOn w:val="1"/>
    <w:link w:val="25"/>
    <w:unhideWhenUsed/>
    <w:qFormat/>
    <w:uiPriority w:val="99"/>
    <w:pPr>
      <w:tabs>
        <w:tab w:val="center" w:pos="4153"/>
        <w:tab w:val="right" w:pos="8306"/>
      </w:tabs>
    </w:pPr>
    <w:rPr>
      <w:sz w:val="18"/>
      <w:szCs w:val="18"/>
    </w:rPr>
  </w:style>
  <w:style w:type="paragraph" w:styleId="13">
    <w:name w:val="header"/>
    <w:basedOn w:val="1"/>
    <w:link w:val="24"/>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36"/>
    <w:qFormat/>
    <w:uiPriority w:val="0"/>
    <w:pPr>
      <w:widowControl w:val="0"/>
      <w:adjustRightInd/>
      <w:snapToGrid/>
      <w:spacing w:before="240" w:after="60"/>
      <w:jc w:val="center"/>
      <w:outlineLvl w:val="0"/>
    </w:pPr>
    <w:rPr>
      <w:rFonts w:ascii="Cambria" w:hAnsi="Cambria"/>
      <w:b/>
      <w:bCs/>
      <w:kern w:val="2"/>
      <w:sz w:val="32"/>
      <w:szCs w:val="32"/>
    </w:rPr>
  </w:style>
  <w:style w:type="paragraph" w:styleId="17">
    <w:name w:val="annotation subject"/>
    <w:basedOn w:val="8"/>
    <w:next w:val="8"/>
    <w:link w:val="48"/>
    <w:semiHidden/>
    <w:unhideWhenUsed/>
    <w:qFormat/>
    <w:uiPriority w:val="99"/>
    <w:rPr>
      <w:b/>
      <w:bCs/>
    </w:rPr>
  </w:style>
  <w:style w:type="character" w:styleId="20">
    <w:name w:val="page number"/>
    <w:basedOn w:val="19"/>
    <w:qFormat/>
    <w:uiPriority w:val="0"/>
  </w:style>
  <w:style w:type="character" w:styleId="21">
    <w:name w:val="line number"/>
    <w:basedOn w:val="19"/>
    <w:semiHidden/>
    <w:unhideWhenUsed/>
    <w:qFormat/>
    <w:uiPriority w:val="99"/>
  </w:style>
  <w:style w:type="character" w:styleId="22">
    <w:name w:val="Hyperlink"/>
    <w:qFormat/>
    <w:uiPriority w:val="99"/>
    <w:rPr>
      <w:color w:val="0000FF"/>
      <w:u w:val="single"/>
    </w:rPr>
  </w:style>
  <w:style w:type="character" w:styleId="23">
    <w:name w:val="annotation reference"/>
    <w:basedOn w:val="19"/>
    <w:semiHidden/>
    <w:unhideWhenUsed/>
    <w:qFormat/>
    <w:uiPriority w:val="99"/>
    <w:rPr>
      <w:sz w:val="21"/>
      <w:szCs w:val="21"/>
    </w:rPr>
  </w:style>
  <w:style w:type="character" w:customStyle="1" w:styleId="24">
    <w:name w:val="页眉 Char"/>
    <w:basedOn w:val="19"/>
    <w:link w:val="13"/>
    <w:qFormat/>
    <w:uiPriority w:val="99"/>
    <w:rPr>
      <w:rFonts w:ascii="Tahoma" w:hAnsi="Tahoma"/>
      <w:sz w:val="18"/>
      <w:szCs w:val="18"/>
    </w:rPr>
  </w:style>
  <w:style w:type="character" w:customStyle="1" w:styleId="25">
    <w:name w:val="页脚 Char"/>
    <w:basedOn w:val="19"/>
    <w:link w:val="12"/>
    <w:qFormat/>
    <w:uiPriority w:val="99"/>
    <w:rPr>
      <w:rFonts w:ascii="Tahoma" w:hAnsi="Tahoma"/>
      <w:sz w:val="18"/>
      <w:szCs w:val="18"/>
    </w:rPr>
  </w:style>
  <w:style w:type="character" w:customStyle="1" w:styleId="26">
    <w:name w:val="标题 1 Char"/>
    <w:basedOn w:val="19"/>
    <w:link w:val="3"/>
    <w:qFormat/>
    <w:uiPriority w:val="9"/>
    <w:rPr>
      <w:rFonts w:ascii="楷体_GB2312" w:hAnsi="Times New Roman" w:eastAsia="楷体_GB2312" w:cs="Times New Roman"/>
      <w:kern w:val="2"/>
      <w:sz w:val="28"/>
      <w:szCs w:val="28"/>
    </w:rPr>
  </w:style>
  <w:style w:type="paragraph" w:customStyle="1" w:styleId="27">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8">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9">
    <w:name w:val="标题 3 Char"/>
    <w:basedOn w:val="19"/>
    <w:link w:val="5"/>
    <w:qFormat/>
    <w:uiPriority w:val="0"/>
    <w:rPr>
      <w:rFonts w:ascii="Times New Roman" w:hAnsi="Times New Roman" w:eastAsia="宋体" w:cs="Times New Roman"/>
      <w:b/>
      <w:bCs/>
      <w:kern w:val="2"/>
      <w:sz w:val="32"/>
      <w:szCs w:val="32"/>
    </w:rPr>
  </w:style>
  <w:style w:type="character" w:customStyle="1" w:styleId="30">
    <w:name w:val="标题 4 Char"/>
    <w:basedOn w:val="19"/>
    <w:link w:val="7"/>
    <w:qFormat/>
    <w:uiPriority w:val="9"/>
    <w:rPr>
      <w:rFonts w:ascii="Arial" w:hAnsi="Arial" w:eastAsia="黑体" w:cs="Arial"/>
      <w:b/>
      <w:bCs/>
      <w:kern w:val="2"/>
      <w:sz w:val="28"/>
      <w:szCs w:val="28"/>
    </w:rPr>
  </w:style>
  <w:style w:type="character" w:customStyle="1" w:styleId="31">
    <w:name w:val="标题 Char1"/>
    <w:basedOn w:val="19"/>
    <w:qFormat/>
    <w:uiPriority w:val="0"/>
    <w:rPr>
      <w:rFonts w:ascii="Cambria" w:hAnsi="Cambria"/>
      <w:b/>
      <w:bCs/>
      <w:kern w:val="2"/>
      <w:sz w:val="32"/>
      <w:szCs w:val="32"/>
    </w:rPr>
  </w:style>
  <w:style w:type="character" w:customStyle="1" w:styleId="32">
    <w:name w:val="标题二 Char"/>
    <w:link w:val="33"/>
    <w:qFormat/>
    <w:uiPriority w:val="0"/>
    <w:rPr>
      <w:rFonts w:ascii="宋体" w:hAnsi="宋体" w:cs="Calibri"/>
      <w:b/>
      <w:color w:val="000000"/>
      <w:kern w:val="1"/>
      <w:sz w:val="28"/>
      <w:szCs w:val="28"/>
    </w:rPr>
  </w:style>
  <w:style w:type="paragraph" w:customStyle="1" w:styleId="33">
    <w:name w:val="标题二"/>
    <w:basedOn w:val="34"/>
    <w:link w:val="32"/>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4">
    <w:name w:val="List Paragraph"/>
    <w:basedOn w:val="1"/>
    <w:qFormat/>
    <w:uiPriority w:val="34"/>
    <w:pPr>
      <w:ind w:firstLine="420" w:firstLineChars="200"/>
    </w:pPr>
  </w:style>
  <w:style w:type="character" w:customStyle="1" w:styleId="35">
    <w:name w:val="正文缩进 Char"/>
    <w:link w:val="6"/>
    <w:qFormat/>
    <w:uiPriority w:val="0"/>
    <w:rPr>
      <w:kern w:val="2"/>
      <w:sz w:val="21"/>
      <w:szCs w:val="21"/>
    </w:rPr>
  </w:style>
  <w:style w:type="character" w:customStyle="1" w:styleId="36">
    <w:name w:val="标题 Char"/>
    <w:basedOn w:val="19"/>
    <w:link w:val="16"/>
    <w:qFormat/>
    <w:uiPriority w:val="10"/>
    <w:rPr>
      <w:rFonts w:eastAsia="宋体" w:asciiTheme="majorHAnsi" w:hAnsiTheme="majorHAnsi" w:cstheme="majorBidi"/>
      <w:b/>
      <w:bCs/>
      <w:sz w:val="32"/>
      <w:szCs w:val="32"/>
    </w:rPr>
  </w:style>
  <w:style w:type="character" w:customStyle="1" w:styleId="37">
    <w:name w:val="font1"/>
    <w:qFormat/>
    <w:uiPriority w:val="0"/>
    <w:rPr>
      <w:color w:val="333333"/>
      <w:spacing w:val="450"/>
      <w:sz w:val="18"/>
      <w:szCs w:val="18"/>
      <w:u w:val="none"/>
    </w:rPr>
  </w:style>
  <w:style w:type="character" w:customStyle="1" w:styleId="38">
    <w:name w:val="纯文本 Char"/>
    <w:qFormat/>
    <w:uiPriority w:val="0"/>
    <w:rPr>
      <w:rFonts w:ascii="宋体" w:hAnsi="Courier New" w:cs="Courier New"/>
      <w:kern w:val="2"/>
      <w:sz w:val="21"/>
      <w:szCs w:val="21"/>
    </w:rPr>
  </w:style>
  <w:style w:type="character" w:customStyle="1" w:styleId="39">
    <w:name w:val="纯文本 Char1"/>
    <w:basedOn w:val="19"/>
    <w:link w:val="10"/>
    <w:semiHidden/>
    <w:qFormat/>
    <w:uiPriority w:val="99"/>
    <w:rPr>
      <w:rFonts w:ascii="宋体" w:hAnsi="Courier New" w:eastAsia="宋体" w:cs="Courier New"/>
      <w:sz w:val="21"/>
      <w:szCs w:val="21"/>
    </w:rPr>
  </w:style>
  <w:style w:type="character" w:customStyle="1" w:styleId="40">
    <w:name w:val="标题 2 Char"/>
    <w:basedOn w:val="19"/>
    <w:link w:val="4"/>
    <w:semiHidden/>
    <w:qFormat/>
    <w:uiPriority w:val="9"/>
    <w:rPr>
      <w:rFonts w:asciiTheme="majorHAnsi" w:hAnsiTheme="majorHAnsi" w:eastAsiaTheme="majorEastAsia" w:cstheme="majorBidi"/>
      <w:b/>
      <w:bCs/>
      <w:sz w:val="32"/>
      <w:szCs w:val="32"/>
    </w:rPr>
  </w:style>
  <w:style w:type="character" w:customStyle="1" w:styleId="41">
    <w:name w:val="正文文本 Char"/>
    <w:qFormat/>
    <w:uiPriority w:val="0"/>
    <w:rPr>
      <w:rFonts w:ascii="楷体_GB2312" w:hAnsi="Arial" w:eastAsia="楷体_GB2312"/>
      <w:kern w:val="2"/>
      <w:sz w:val="28"/>
      <w:szCs w:val="28"/>
    </w:rPr>
  </w:style>
  <w:style w:type="character" w:customStyle="1" w:styleId="42">
    <w:name w:val="列出段落 Char"/>
    <w:link w:val="43"/>
    <w:qFormat/>
    <w:locked/>
    <w:uiPriority w:val="34"/>
    <w:rPr>
      <w:rFonts w:ascii="Calibri" w:hAnsi="Calibri"/>
      <w:sz w:val="24"/>
      <w:szCs w:val="24"/>
      <w:lang w:eastAsia="en-US" w:bidi="en-US"/>
    </w:rPr>
  </w:style>
  <w:style w:type="paragraph" w:customStyle="1" w:styleId="43">
    <w:name w:val="列出段落11"/>
    <w:basedOn w:val="1"/>
    <w:link w:val="42"/>
    <w:qFormat/>
    <w:uiPriority w:val="34"/>
    <w:pPr>
      <w:adjustRightInd/>
      <w:snapToGrid/>
      <w:spacing w:after="0"/>
      <w:ind w:left="720"/>
      <w:contextualSpacing/>
    </w:pPr>
    <w:rPr>
      <w:rFonts w:ascii="Calibri" w:hAnsi="Calibri"/>
      <w:sz w:val="24"/>
      <w:szCs w:val="24"/>
      <w:lang w:eastAsia="en-US" w:bidi="en-US"/>
    </w:rPr>
  </w:style>
  <w:style w:type="paragraph" w:customStyle="1" w:styleId="44">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5">
    <w:name w:val="正文文本 Char1"/>
    <w:basedOn w:val="19"/>
    <w:link w:val="9"/>
    <w:semiHidden/>
    <w:qFormat/>
    <w:uiPriority w:val="99"/>
    <w:rPr>
      <w:rFonts w:ascii="Tahoma" w:hAnsi="Tahoma"/>
    </w:rPr>
  </w:style>
  <w:style w:type="character" w:customStyle="1" w:styleId="46">
    <w:name w:val="批注框文本 Char"/>
    <w:basedOn w:val="19"/>
    <w:link w:val="11"/>
    <w:semiHidden/>
    <w:qFormat/>
    <w:uiPriority w:val="99"/>
    <w:rPr>
      <w:rFonts w:ascii="Tahoma" w:hAnsi="Tahoma"/>
      <w:sz w:val="18"/>
      <w:szCs w:val="18"/>
    </w:rPr>
  </w:style>
  <w:style w:type="character" w:customStyle="1" w:styleId="47">
    <w:name w:val="批注文字 Char"/>
    <w:basedOn w:val="19"/>
    <w:link w:val="8"/>
    <w:semiHidden/>
    <w:qFormat/>
    <w:uiPriority w:val="99"/>
    <w:rPr>
      <w:rFonts w:ascii="Tahoma" w:hAnsi="Tahoma"/>
    </w:rPr>
  </w:style>
  <w:style w:type="character" w:customStyle="1" w:styleId="48">
    <w:name w:val="批注主题 Char"/>
    <w:basedOn w:val="47"/>
    <w:link w:val="17"/>
    <w:semiHidden/>
    <w:qFormat/>
    <w:uiPriority w:val="99"/>
    <w:rPr>
      <w:rFonts w:ascii="Tahoma" w:hAnsi="Tahoma"/>
      <w:b/>
      <w:bCs/>
    </w:rPr>
  </w:style>
  <w:style w:type="paragraph" w:customStyle="1" w:styleId="49">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86A766-F1C5-47AF-9D15-466BBB400695}">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Pages>
  <Words>2385</Words>
  <Characters>13595</Characters>
  <Lines>113</Lines>
  <Paragraphs>31</Paragraphs>
  <TotalTime>0</TotalTime>
  <ScaleCrop>false</ScaleCrop>
  <LinksUpToDate>false</LinksUpToDate>
  <CharactersWithSpaces>15949</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lenovo</dc:creator>
  <cp:lastModifiedBy>lenovo</cp:lastModifiedBy>
  <dcterms:modified xsi:type="dcterms:W3CDTF">2019-11-20T04:22:02Z</dcterms:modified>
  <cp:revision>687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