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项目名称：南京医科大学超微量分光光度计</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rFonts w:hint="default" w:eastAsia="宋体"/>
          <w:b/>
          <w:bCs/>
          <w:sz w:val="32"/>
          <w:highlight w:val="none"/>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52</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20823272"/>
      <w:bookmarkStart w:id="4" w:name="_Toc513029200"/>
      <w:bookmarkStart w:id="5" w:name="_Toc479757206"/>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20614211"/>
      <w:bookmarkStart w:id="9" w:name="_Toc479757207"/>
      <w:bookmarkStart w:id="10" w:name="_Toc444669970"/>
      <w:bookmarkStart w:id="11" w:name="_Toc16938558"/>
      <w:bookmarkStart w:id="12" w:name="_Toc120614221"/>
      <w:bookmarkStart w:id="13" w:name="_Toc513029242"/>
      <w:bookmarkStart w:id="14" w:name="OLE_LINK1"/>
      <w:bookmarkStart w:id="15" w:name="OLE_LINK2"/>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超微量分光光度计</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南京医科大学超微量分光光度计购置项目</w:t>
      </w:r>
    </w:p>
    <w:p>
      <w:pPr>
        <w:spacing w:after="0" w:line="500" w:lineRule="exact"/>
        <w:ind w:firstLine="560" w:firstLineChars="200"/>
        <w:rPr>
          <w:rFonts w:hint="default" w:asciiTheme="minorEastAsia" w:hAnsiTheme="minorEastAsia" w:eastAsiaTheme="minorEastAsia"/>
          <w:b/>
          <w:sz w:val="28"/>
          <w:szCs w:val="28"/>
          <w:u w:val="single"/>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w:t>
      </w:r>
      <w:r>
        <w:rPr>
          <w:rFonts w:hint="eastAsia" w:asciiTheme="minorEastAsia" w:hAnsiTheme="minorEastAsia" w:eastAsiaTheme="minorEastAsia"/>
          <w:sz w:val="28"/>
          <w:szCs w:val="28"/>
          <w:highlight w:val="none"/>
          <w:lang w:val="en-US" w:eastAsia="zh-CN"/>
        </w:rPr>
        <w:t>52</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11.5万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4"/>
          <w:szCs w:val="24"/>
          <w:highlight w:val="none"/>
        </w:rPr>
        <w:t>投标文件接收开始时间：2019年</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rPr>
        <w:t>日上午8:30（北京时间）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120" w:beforeLines="50" w:after="12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项目需求方联系人：陆老师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18651694315</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20823274"/>
      <w:bookmarkStart w:id="20" w:name="_Toc513029202"/>
      <w:bookmarkStart w:id="21" w:name="_Toc16938518"/>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513029203"/>
      <w:bookmarkStart w:id="24" w:name="_Toc20823275"/>
      <w:bookmarkStart w:id="25" w:name="_Toc120614214"/>
      <w:bookmarkStart w:id="26" w:name="_Toc16938519"/>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20823277"/>
      <w:bookmarkStart w:id="33" w:name="_Toc16938521"/>
      <w:bookmarkStart w:id="34" w:name="_Toc513029205"/>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20823278"/>
      <w:bookmarkStart w:id="36" w:name="_Toc16938522"/>
      <w:bookmarkStart w:id="37" w:name="_Toc513029206"/>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462564067"/>
      <w:bookmarkStart w:id="39" w:name="_Toc16938523"/>
      <w:bookmarkStart w:id="40" w:name="_Toc20823279"/>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513029209"/>
      <w:bookmarkStart w:id="43" w:name="_Toc120614215"/>
      <w:bookmarkStart w:id="44" w:name="_Toc517190883"/>
      <w:bookmarkStart w:id="45" w:name="_Toc16938525"/>
      <w:bookmarkStart w:id="46" w:name="_Toc20823281"/>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20823283"/>
      <w:bookmarkStart w:id="51" w:name="_Toc16938527"/>
      <w:bookmarkStart w:id="52" w:name="_Toc513029211"/>
      <w:bookmarkStart w:id="53" w:name="_Toc462564070"/>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462564071"/>
      <w:bookmarkStart w:id="55" w:name="_Toc16938528"/>
      <w:bookmarkStart w:id="56" w:name="_Toc513029212"/>
      <w:bookmarkStart w:id="57" w:name="_Toc20823284"/>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20823285"/>
      <w:bookmarkStart w:id="59" w:name="_Toc462564072"/>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16938530"/>
      <w:bookmarkStart w:id="65" w:name="_Toc513029214"/>
      <w:bookmarkStart w:id="66" w:name="_Toc462564073"/>
      <w:bookmarkStart w:id="67" w:name="_Toc20823286"/>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462564074"/>
      <w:bookmarkStart w:id="69" w:name="_Toc16938531"/>
      <w:bookmarkStart w:id="70" w:name="_Toc20823287"/>
      <w:bookmarkStart w:id="71" w:name="_Toc513029215"/>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68975"/>
      <w:bookmarkEnd w:id="73"/>
      <w:bookmarkStart w:id="74" w:name="_Hlt26670360"/>
      <w:bookmarkEnd w:id="74"/>
      <w:bookmarkStart w:id="75" w:name="_Toc49090509"/>
      <w:bookmarkStart w:id="76" w:name="_Toc513029219"/>
      <w:bookmarkStart w:id="77" w:name="_Toc14577357"/>
      <w:bookmarkStart w:id="78" w:name="_Toc49090507"/>
      <w:bookmarkStart w:id="79" w:name="_Toc14577354"/>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70403"/>
      <w:bookmarkEnd w:id="87"/>
      <w:bookmarkStart w:id="88" w:name="_Hlt26954844"/>
      <w:bookmarkEnd w:id="88"/>
      <w:bookmarkStart w:id="89" w:name="_Hlt26954842"/>
      <w:bookmarkEnd w:id="89"/>
      <w:bookmarkStart w:id="90" w:name="_Hlt26670425"/>
      <w:bookmarkEnd w:id="90"/>
      <w:bookmarkStart w:id="91" w:name="_Hlt2666898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846"/>
      <w:bookmarkEnd w:id="92"/>
      <w:bookmarkStart w:id="93" w:name="_Hlt26670486"/>
      <w:bookmarkEnd w:id="93"/>
      <w:bookmarkStart w:id="94" w:name="_Hlt26954731"/>
      <w:bookmarkEnd w:id="94"/>
      <w:bookmarkStart w:id="95" w:name="_Hlt26954848"/>
      <w:bookmarkEnd w:id="95"/>
      <w:bookmarkStart w:id="96" w:name="_Hlt26670482"/>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513029224"/>
      <w:bookmarkStart w:id="107" w:name="_Toc120614217"/>
      <w:bookmarkStart w:id="108" w:name="_Toc16938540"/>
      <w:bookmarkStart w:id="109" w:name="_Toc20823296"/>
      <w:bookmarkStart w:id="110" w:name="_Toc517190885"/>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20823297"/>
      <w:bookmarkStart w:id="113" w:name="_Toc462564084"/>
      <w:bookmarkStart w:id="114" w:name="_Toc513029225"/>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16938542"/>
      <w:bookmarkStart w:id="116" w:name="_Toc20823298"/>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20823299"/>
      <w:bookmarkStart w:id="119" w:name="_Toc513029227"/>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20823301"/>
      <w:bookmarkStart w:id="125" w:name="_Toc16938545"/>
      <w:bookmarkStart w:id="126" w:name="_Toc120614218"/>
      <w:bookmarkStart w:id="127" w:name="_Toc517190886"/>
      <w:bookmarkStart w:id="128" w:name="_Toc513029229"/>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513029230"/>
      <w:bookmarkStart w:id="130" w:name="_Toc16938546"/>
      <w:bookmarkStart w:id="131" w:name="_Toc20823302"/>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513029231"/>
      <w:bookmarkStart w:id="133" w:name="_Toc16938547"/>
      <w:bookmarkStart w:id="134"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20823306"/>
      <w:bookmarkStart w:id="139" w:name="_Toc513029234"/>
      <w:bookmarkStart w:id="140" w:name="_Toc16938550"/>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513029235"/>
      <w:bookmarkStart w:id="142" w:name="_Toc20823307"/>
      <w:bookmarkStart w:id="143"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4"/>
      <w:bookmarkStart w:id="150" w:name="OLE_LINK3"/>
      <w:bookmarkStart w:id="151" w:name="OLE_LINK7"/>
      <w:bookmarkStart w:id="152" w:name="OLE_LINK5"/>
      <w:bookmarkStart w:id="153" w:name="OLE_LINK8"/>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513029237"/>
      <w:bookmarkStart w:id="162" w:name="_Toc20823309"/>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r>
        <w:rPr>
          <w:rFonts w:hint="eastAsia" w:asciiTheme="minorEastAsia" w:hAnsiTheme="minorEastAsia" w:eastAsiaTheme="minorEastAsia" w:cstheme="minorEastAsia"/>
          <w:b/>
          <w:bCs/>
          <w:sz w:val="28"/>
          <w:szCs w:val="28"/>
        </w:rPr>
        <w:t>一、技术参数</w:t>
      </w:r>
    </w:p>
    <w:p>
      <w:pPr>
        <w:widowControl w:val="0"/>
        <w:adjustRightInd/>
        <w:snapToGrid/>
        <w:spacing w:after="0" w:line="360" w:lineRule="auto"/>
        <w:jc w:val="both"/>
        <w:rPr>
          <w:rFonts w:ascii="宋体" w:hAnsi="宋体" w:eastAsia="宋体" w:cs="Times New Roman"/>
          <w:kern w:val="2"/>
          <w:sz w:val="28"/>
          <w:szCs w:val="28"/>
        </w:rPr>
      </w:pPr>
      <w:r>
        <w:rPr>
          <w:rFonts w:hint="eastAsia" w:cs="宋体" w:asciiTheme="minorEastAsia" w:hAnsiTheme="minorEastAsia" w:eastAsiaTheme="minorEastAsia"/>
          <w:bCs/>
          <w:sz w:val="23"/>
          <w:szCs w:val="23"/>
        </w:rPr>
        <w:t>★</w:t>
      </w:r>
      <w:r>
        <w:rPr>
          <w:rFonts w:hint="eastAsia" w:ascii="宋体" w:hAnsi="宋体" w:eastAsia="宋体" w:cs="Times New Roman"/>
          <w:kern w:val="2"/>
          <w:sz w:val="28"/>
          <w:szCs w:val="28"/>
        </w:rPr>
        <w:t>1、检测浓度范围：2ng/ul-27,500ng/ul（dsDNA）。</w:t>
      </w:r>
    </w:p>
    <w:p>
      <w:pPr>
        <w:widowControl w:val="0"/>
        <w:numPr>
          <w:ilvl w:val="0"/>
          <w:numId w:val="4"/>
        </w:numPr>
        <w:adjustRightInd/>
        <w:snapToGrid/>
        <w:spacing w:after="0" w:line="360" w:lineRule="auto"/>
        <w:ind w:firstLine="280" w:firstLineChars="100"/>
        <w:jc w:val="both"/>
        <w:rPr>
          <w:rFonts w:ascii="宋体" w:hAnsi="宋体" w:eastAsia="宋体" w:cs="Times New Roman"/>
          <w:kern w:val="2"/>
          <w:sz w:val="28"/>
          <w:szCs w:val="28"/>
        </w:rPr>
      </w:pPr>
      <w:r>
        <w:rPr>
          <w:rFonts w:hint="eastAsia" w:ascii="宋体" w:hAnsi="宋体" w:eastAsia="宋体" w:cs="Times New Roman"/>
          <w:kern w:val="2"/>
          <w:sz w:val="28"/>
          <w:szCs w:val="28"/>
        </w:rPr>
        <w:t>波长范围：190－850nm，可进行连续波长全光谱分析。</w:t>
      </w:r>
    </w:p>
    <w:p>
      <w:pPr>
        <w:widowControl w:val="0"/>
        <w:adjustRightInd/>
        <w:snapToGrid/>
        <w:spacing w:after="0" w:line="360" w:lineRule="auto"/>
        <w:jc w:val="both"/>
        <w:rPr>
          <w:rFonts w:ascii="宋体" w:hAnsi="宋体" w:eastAsia="宋体" w:cs="Times New Roman"/>
          <w:kern w:val="2"/>
          <w:sz w:val="28"/>
          <w:szCs w:val="28"/>
        </w:rPr>
      </w:pPr>
      <w:r>
        <w:rPr>
          <w:rFonts w:hint="eastAsia" w:cs="宋体" w:asciiTheme="minorEastAsia" w:hAnsiTheme="minorEastAsia" w:eastAsiaTheme="minorEastAsia"/>
          <w:bCs/>
          <w:sz w:val="23"/>
          <w:szCs w:val="23"/>
        </w:rPr>
        <w:t>★</w:t>
      </w:r>
      <w:r>
        <w:rPr>
          <w:rFonts w:hint="eastAsia" w:ascii="宋体" w:hAnsi="宋体" w:eastAsia="宋体" w:cs="Times New Roman"/>
          <w:kern w:val="2"/>
          <w:sz w:val="28"/>
          <w:szCs w:val="28"/>
        </w:rPr>
        <w:t>3、光程：内含0.03,0.05,0.1,0.2,1mm 5个光程，根据样品浓度进行自动匹配最佳光程，无需手工设置。</w:t>
      </w:r>
    </w:p>
    <w:p>
      <w:pPr>
        <w:widowControl w:val="0"/>
        <w:adjustRightInd/>
        <w:snapToGrid/>
        <w:spacing w:after="0" w:line="360" w:lineRule="auto"/>
        <w:ind w:firstLine="280" w:firstLineChars="100"/>
        <w:jc w:val="both"/>
        <w:rPr>
          <w:rFonts w:ascii="宋体" w:hAnsi="宋体" w:eastAsia="宋体" w:cs="Times New Roman"/>
          <w:kern w:val="2"/>
          <w:sz w:val="28"/>
          <w:szCs w:val="28"/>
        </w:rPr>
      </w:pPr>
      <w:r>
        <w:rPr>
          <w:rFonts w:hint="eastAsia" w:ascii="宋体" w:hAnsi="宋体" w:eastAsia="宋体" w:cs="Times New Roman"/>
          <w:kern w:val="2"/>
          <w:sz w:val="28"/>
          <w:szCs w:val="28"/>
        </w:rPr>
        <w:t>4、</w:t>
      </w:r>
      <w:r>
        <w:rPr>
          <w:rFonts w:ascii="宋体" w:hAnsi="宋体" w:eastAsia="宋体" w:cs="Times New Roman"/>
          <w:kern w:val="2"/>
          <w:sz w:val="28"/>
          <w:szCs w:val="28"/>
        </w:rPr>
        <w:t>检测重复性：0</w:t>
      </w:r>
      <w:r>
        <w:rPr>
          <w:rFonts w:hint="eastAsia" w:ascii="宋体" w:hAnsi="宋体" w:eastAsia="宋体" w:cs="Times New Roman"/>
          <w:kern w:val="2"/>
          <w:sz w:val="28"/>
          <w:szCs w:val="28"/>
        </w:rPr>
        <w:t>.002A(1.0mm光程) 或1%CV。</w:t>
      </w:r>
    </w:p>
    <w:p>
      <w:pPr>
        <w:widowControl w:val="0"/>
        <w:adjustRightInd/>
        <w:snapToGrid/>
        <w:spacing w:after="0" w:line="360" w:lineRule="auto"/>
        <w:ind w:firstLine="280" w:firstLineChars="100"/>
        <w:jc w:val="both"/>
        <w:rPr>
          <w:rFonts w:ascii="宋体" w:hAnsi="宋体" w:eastAsia="宋体" w:cs="Times New Roman"/>
          <w:kern w:val="2"/>
          <w:sz w:val="28"/>
          <w:szCs w:val="28"/>
        </w:rPr>
      </w:pPr>
      <w:r>
        <w:rPr>
          <w:rFonts w:hint="eastAsia" w:ascii="宋体" w:hAnsi="宋体" w:eastAsia="宋体" w:cs="Times New Roman"/>
          <w:kern w:val="2"/>
          <w:sz w:val="28"/>
          <w:szCs w:val="28"/>
        </w:rPr>
        <w:t>5、最小样品体积≤1ul。</w:t>
      </w:r>
    </w:p>
    <w:p>
      <w:pPr>
        <w:widowControl w:val="0"/>
        <w:adjustRightInd/>
        <w:snapToGrid/>
        <w:spacing w:after="0" w:line="360" w:lineRule="auto"/>
        <w:ind w:firstLine="280" w:firstLineChars="100"/>
        <w:jc w:val="both"/>
        <w:rPr>
          <w:rFonts w:ascii="宋体" w:hAnsi="宋体" w:eastAsia="宋体" w:cs="Times New Roman"/>
          <w:kern w:val="2"/>
          <w:sz w:val="28"/>
          <w:szCs w:val="28"/>
        </w:rPr>
      </w:pPr>
      <w:r>
        <w:rPr>
          <w:rFonts w:hint="eastAsia" w:ascii="宋体" w:hAnsi="宋体" w:eastAsia="宋体" w:cs="Times New Roman"/>
          <w:kern w:val="2"/>
          <w:sz w:val="28"/>
          <w:szCs w:val="28"/>
        </w:rPr>
        <w:t>6、载样点采用303高抛光耐磨不锈钢，并与主机整合在一起，直接上样进行检测，无需使用任何耗材，使用方便。</w:t>
      </w:r>
    </w:p>
    <w:p>
      <w:pPr>
        <w:widowControl w:val="0"/>
        <w:adjustRightInd/>
        <w:snapToGrid/>
        <w:spacing w:after="0" w:line="360" w:lineRule="auto"/>
        <w:jc w:val="both"/>
        <w:rPr>
          <w:rFonts w:ascii="宋体" w:hAnsi="宋体" w:eastAsia="宋体" w:cs="Times New Roman"/>
          <w:kern w:val="2"/>
          <w:sz w:val="28"/>
          <w:szCs w:val="28"/>
        </w:rPr>
      </w:pPr>
      <w:r>
        <w:rPr>
          <w:rFonts w:hint="eastAsia" w:cs="宋体" w:asciiTheme="minorEastAsia" w:hAnsiTheme="minorEastAsia" w:eastAsiaTheme="minorEastAsia"/>
          <w:bCs/>
          <w:sz w:val="23"/>
          <w:szCs w:val="23"/>
        </w:rPr>
        <w:t>★</w:t>
      </w:r>
      <w:r>
        <w:rPr>
          <w:rFonts w:hint="eastAsia" w:ascii="宋体" w:hAnsi="宋体" w:eastAsia="宋体" w:cs="Times New Roman"/>
          <w:kern w:val="2"/>
          <w:sz w:val="28"/>
          <w:szCs w:val="28"/>
        </w:rPr>
        <w:t>7、具备智能样本检测技术可进行污染物鉴定和结果校正，保证样本精确的浓度和样本的质量。</w:t>
      </w:r>
    </w:p>
    <w:p>
      <w:pPr>
        <w:widowControl w:val="0"/>
        <w:tabs>
          <w:tab w:val="left" w:pos="636"/>
        </w:tabs>
        <w:adjustRightInd/>
        <w:snapToGrid/>
        <w:spacing w:after="0" w:line="360" w:lineRule="auto"/>
        <w:ind w:firstLine="280" w:firstLineChars="100"/>
        <w:jc w:val="both"/>
        <w:rPr>
          <w:rFonts w:ascii="宋体" w:hAnsi="宋体" w:eastAsia="宋体" w:cs="Times New Roman"/>
          <w:kern w:val="2"/>
          <w:sz w:val="28"/>
          <w:szCs w:val="28"/>
        </w:rPr>
      </w:pPr>
      <w:r>
        <w:rPr>
          <w:rFonts w:hint="eastAsia" w:ascii="宋体" w:hAnsi="宋体" w:eastAsia="宋体" w:cs="Times New Roman"/>
          <w:kern w:val="2"/>
          <w:sz w:val="28"/>
          <w:szCs w:val="28"/>
        </w:rPr>
        <w:t>8、仪器操作：高分辨率彩色触摸屏，触摸屏可调整角度，操作系统支持8种以上语言。</w:t>
      </w:r>
    </w:p>
    <w:p>
      <w:pPr>
        <w:widowControl w:val="0"/>
        <w:tabs>
          <w:tab w:val="left" w:pos="636"/>
        </w:tabs>
        <w:adjustRightInd/>
        <w:snapToGrid/>
        <w:spacing w:after="0" w:line="360" w:lineRule="auto"/>
        <w:ind w:firstLine="280" w:firstLineChars="100"/>
        <w:jc w:val="both"/>
        <w:rPr>
          <w:rFonts w:ascii="宋体" w:hAnsi="宋体" w:eastAsia="宋体" w:cs="Times New Roman"/>
          <w:kern w:val="2"/>
          <w:sz w:val="28"/>
          <w:szCs w:val="28"/>
        </w:rPr>
      </w:pPr>
      <w:r>
        <w:rPr>
          <w:rFonts w:hint="eastAsia" w:ascii="宋体" w:hAnsi="宋体" w:eastAsia="宋体" w:cs="Times New Roman"/>
          <w:kern w:val="2"/>
          <w:sz w:val="28"/>
          <w:szCs w:val="28"/>
        </w:rPr>
        <w:t>9、可免费下载</w:t>
      </w:r>
      <w:r>
        <w:rPr>
          <w:rFonts w:ascii="宋体" w:hAnsi="宋体" w:eastAsia="宋体" w:cs="Times New Roman"/>
          <w:kern w:val="2"/>
          <w:sz w:val="28"/>
          <w:szCs w:val="28"/>
        </w:rPr>
        <w:t>电脑软件，用于分析和管理从仪器种导出的结果</w:t>
      </w:r>
    </w:p>
    <w:p>
      <w:pPr>
        <w:widowControl w:val="0"/>
        <w:tabs>
          <w:tab w:val="left" w:pos="636"/>
        </w:tabs>
        <w:adjustRightInd/>
        <w:snapToGrid/>
        <w:spacing w:after="0" w:line="360" w:lineRule="auto"/>
        <w:jc w:val="both"/>
        <w:rPr>
          <w:rFonts w:ascii="宋体" w:hAnsi="宋体" w:eastAsia="宋体" w:cs="Times New Roman"/>
          <w:kern w:val="2"/>
          <w:sz w:val="28"/>
          <w:szCs w:val="28"/>
        </w:rPr>
      </w:pPr>
      <w:r>
        <w:rPr>
          <w:rFonts w:hint="eastAsia" w:cs="宋体" w:asciiTheme="minorEastAsia" w:hAnsiTheme="minorEastAsia" w:eastAsiaTheme="minorEastAsia"/>
          <w:bCs/>
          <w:sz w:val="23"/>
          <w:szCs w:val="23"/>
        </w:rPr>
        <w:t>★</w:t>
      </w:r>
      <w:r>
        <w:rPr>
          <w:rFonts w:hint="eastAsia" w:ascii="宋体" w:hAnsi="宋体" w:eastAsia="宋体" w:cs="Times New Roman"/>
          <w:kern w:val="2"/>
          <w:sz w:val="28"/>
          <w:szCs w:val="28"/>
        </w:rPr>
        <w:t>10、仪器内置传感器，具有摄像头，检测前对样品上样液柱进行数码成像，保证检测的准确性。</w:t>
      </w:r>
    </w:p>
    <w:p>
      <w:pPr>
        <w:widowControl w:val="0"/>
        <w:tabs>
          <w:tab w:val="left" w:pos="636"/>
        </w:tabs>
        <w:adjustRightInd/>
        <w:snapToGrid/>
        <w:spacing w:after="0" w:line="360" w:lineRule="auto"/>
        <w:jc w:val="both"/>
        <w:rPr>
          <w:rFonts w:ascii="宋体" w:hAnsi="宋体" w:eastAsia="宋体" w:cs="Times New Roman"/>
          <w:kern w:val="2"/>
          <w:sz w:val="28"/>
          <w:szCs w:val="28"/>
        </w:rPr>
      </w:pPr>
      <w:r>
        <w:rPr>
          <w:rFonts w:hint="eastAsia" w:cs="宋体" w:asciiTheme="minorEastAsia" w:hAnsiTheme="minorEastAsia" w:eastAsiaTheme="minorEastAsia"/>
          <w:bCs/>
          <w:sz w:val="23"/>
          <w:szCs w:val="23"/>
        </w:rPr>
        <w:t>★</w:t>
      </w:r>
      <w:r>
        <w:rPr>
          <w:rFonts w:hint="eastAsia" w:ascii="宋体" w:hAnsi="宋体" w:eastAsia="宋体" w:cs="Times New Roman"/>
          <w:kern w:val="2"/>
          <w:sz w:val="28"/>
          <w:szCs w:val="28"/>
        </w:rPr>
        <w:t>11、设备符合中华人民共和国计量法有关规定，获得国家质量监督检验检疫总局批准的计量器具型式批准证书（提供相关证书复印件加盖公章，原件备查）。</w:t>
      </w:r>
    </w:p>
    <w:p>
      <w:pPr>
        <w:spacing w:line="360" w:lineRule="auto"/>
        <w:ind w:firstLine="281" w:firstLineChars="100"/>
        <w:rPr>
          <w:rFonts w:ascii="宋体" w:hAnsi="宋体" w:eastAsia="宋体" w:cs="Times New Roman"/>
          <w:b/>
          <w:bCs/>
          <w:sz w:val="28"/>
          <w:szCs w:val="28"/>
        </w:rPr>
      </w:pPr>
      <w:r>
        <w:rPr>
          <w:rFonts w:hint="eastAsia" w:ascii="宋体" w:hAnsi="宋体" w:eastAsia="宋体" w:cs="Times New Roman"/>
          <w:b/>
          <w:bCs/>
          <w:sz w:val="28"/>
          <w:szCs w:val="28"/>
        </w:rPr>
        <w:t>二、服务要求</w:t>
      </w:r>
    </w:p>
    <w:p>
      <w:pPr>
        <w:adjustRightInd/>
        <w:snapToGrid/>
        <w:spacing w:before="100" w:beforeAutospacing="1" w:after="100" w:afterAutospacing="1" w:line="0" w:lineRule="atLeast"/>
        <w:ind w:firstLine="280" w:firstLineChars="100"/>
        <w:rPr>
          <w:rFonts w:ascii="宋体" w:hAnsi="宋体" w:eastAsia="宋体" w:cs="Times New Roman"/>
          <w:kern w:val="2"/>
          <w:sz w:val="28"/>
          <w:szCs w:val="28"/>
        </w:rPr>
      </w:pPr>
      <w:r>
        <w:rPr>
          <w:rFonts w:hint="eastAsia" w:ascii="宋体" w:hAnsi="宋体" w:eastAsia="宋体" w:cs="Times New Roman"/>
          <w:kern w:val="2"/>
          <w:sz w:val="28"/>
          <w:szCs w:val="28"/>
        </w:rPr>
        <w:t>1.技术培训：卖方负责派专业技术人员到学校进行集中培训，使其能熟练掌握仪器的各项性能（包括硬件和软件）。在仪器使用集中培训以后，若买方仍有技术问题，卖方在任何时候，都应在48小时以内提供详细技术方案并予以解决。</w:t>
      </w:r>
    </w:p>
    <w:p>
      <w:pPr>
        <w:adjustRightInd/>
        <w:snapToGrid/>
        <w:spacing w:before="100" w:beforeAutospacing="1" w:after="100" w:afterAutospacing="1" w:line="0" w:lineRule="atLeast"/>
        <w:ind w:left="79" w:leftChars="36" w:firstLine="140" w:firstLineChars="50"/>
        <w:rPr>
          <w:rFonts w:ascii="宋体" w:hAnsi="宋体" w:eastAsia="宋体" w:cs="Times New Roman"/>
          <w:kern w:val="2"/>
          <w:sz w:val="28"/>
          <w:szCs w:val="28"/>
        </w:rPr>
      </w:pPr>
      <w:r>
        <w:rPr>
          <w:rFonts w:hint="eastAsia" w:ascii="宋体" w:hAnsi="宋体" w:eastAsia="宋体" w:cs="Times New Roman"/>
          <w:kern w:val="2"/>
          <w:sz w:val="28"/>
          <w:szCs w:val="28"/>
        </w:rPr>
        <w:t>2.保修期：免费质保期贰年，终身维修，自验收合格之日起算，并提供相关承诺书。质保期内发生任何设备损坏，所需要的维修费用（包括零部件费用、维修费用）均由卖方承担（人为操作不当造成的损坏除外）。</w:t>
      </w:r>
    </w:p>
    <w:p>
      <w:pPr>
        <w:adjustRightInd/>
        <w:snapToGrid/>
        <w:spacing w:before="100" w:beforeAutospacing="1" w:after="100" w:afterAutospacing="1" w:line="0" w:lineRule="atLeast"/>
        <w:ind w:left="79" w:leftChars="36" w:firstLine="140" w:firstLineChars="50"/>
        <w:rPr>
          <w:rFonts w:ascii="宋体" w:hAnsi="宋体" w:eastAsia="宋体" w:cs="Times New Roman"/>
          <w:kern w:val="2"/>
          <w:sz w:val="28"/>
          <w:szCs w:val="28"/>
        </w:rPr>
      </w:pPr>
      <w:r>
        <w:rPr>
          <w:rFonts w:hint="eastAsia" w:ascii="宋体" w:hAnsi="宋体" w:eastAsia="宋体" w:cs="Times New Roman"/>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adjustRightInd/>
        <w:snapToGrid/>
        <w:spacing w:before="100" w:beforeAutospacing="1" w:after="100" w:afterAutospacing="1" w:line="0" w:lineRule="atLeast"/>
        <w:ind w:left="79" w:leftChars="36" w:firstLine="140" w:firstLineChars="50"/>
        <w:rPr>
          <w:rFonts w:ascii="宋体" w:hAnsi="宋体" w:eastAsia="宋体" w:cs="Times New Roman"/>
          <w:kern w:val="2"/>
          <w:sz w:val="28"/>
          <w:szCs w:val="28"/>
        </w:rPr>
      </w:pPr>
      <w:r>
        <w:rPr>
          <w:rFonts w:hint="eastAsia" w:ascii="宋体" w:hAnsi="宋体" w:eastAsia="宋体" w:cs="Times New Roman"/>
          <w:kern w:val="2"/>
          <w:sz w:val="28"/>
          <w:szCs w:val="28"/>
        </w:rPr>
        <w:t>4.卖方免费提供由专业工程师现场指导的移机服务，并安装、调试。</w:t>
      </w:r>
    </w:p>
    <w:p>
      <w:pPr>
        <w:spacing w:line="360" w:lineRule="auto"/>
        <w:ind w:firstLine="281" w:firstLineChars="100"/>
        <w:rPr>
          <w:rFonts w:ascii="宋体" w:hAnsi="宋体" w:eastAsia="宋体" w:cs="Times New Roman"/>
          <w:b/>
          <w:bCs/>
          <w:sz w:val="28"/>
          <w:szCs w:val="28"/>
        </w:rPr>
      </w:pPr>
      <w:r>
        <w:rPr>
          <w:rFonts w:hint="eastAsia" w:ascii="宋体" w:hAnsi="宋体" w:eastAsia="宋体" w:cs="Times New Roman"/>
          <w:b/>
          <w:bCs/>
          <w:sz w:val="28"/>
          <w:szCs w:val="28"/>
        </w:rPr>
        <w:t>三、安装要求</w:t>
      </w:r>
    </w:p>
    <w:p>
      <w:pPr>
        <w:spacing w:line="360" w:lineRule="auto"/>
        <w:ind w:left="319" w:leftChars="145"/>
        <w:rPr>
          <w:rFonts w:ascii="宋体" w:hAnsi="宋体" w:eastAsia="宋体" w:cs="Times New Roman"/>
          <w:bCs/>
          <w:sz w:val="28"/>
          <w:szCs w:val="28"/>
        </w:rPr>
      </w:pPr>
      <w:r>
        <w:rPr>
          <w:rFonts w:hint="eastAsia" w:ascii="宋体" w:hAnsi="宋体" w:eastAsia="宋体" w:cs="Times New Roman"/>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ascii="宋体" w:hAnsi="宋体" w:eastAsia="宋体" w:cs="Times New Roman"/>
          <w:kern w:val="2"/>
          <w:sz w:val="28"/>
          <w:szCs w:val="28"/>
        </w:rPr>
      </w:pPr>
      <w:r>
        <w:rPr>
          <w:rFonts w:hint="eastAsia" w:ascii="宋体" w:hAnsi="宋体" w:eastAsia="宋体" w:cs="Times New Roman"/>
          <w:kern w:val="2"/>
          <w:sz w:val="28"/>
          <w:szCs w:val="28"/>
        </w:rPr>
        <w:t>2.设备安装调试：仪器到货后，卖方在接到通知的7个工作日内派人前往负责该设备的安装、调试和操作培训，直至达到各项验收指标合格。</w:t>
      </w:r>
    </w:p>
    <w:p>
      <w:pPr>
        <w:spacing w:line="360" w:lineRule="auto"/>
        <w:ind w:firstLine="281" w:firstLineChars="100"/>
        <w:rPr>
          <w:rFonts w:ascii="宋体" w:hAnsi="宋体" w:eastAsia="宋体" w:cs="Times New Roman"/>
          <w:b/>
          <w:bCs/>
          <w:sz w:val="28"/>
          <w:szCs w:val="28"/>
        </w:rPr>
      </w:pPr>
      <w:r>
        <w:rPr>
          <w:rFonts w:hint="eastAsia" w:ascii="宋体" w:hAnsi="宋体" w:eastAsia="宋体" w:cs="Times New Roman"/>
          <w:b/>
          <w:bCs/>
          <w:sz w:val="28"/>
          <w:szCs w:val="28"/>
        </w:rPr>
        <w:t>四、</w:t>
      </w:r>
      <w:r>
        <w:rPr>
          <w:rFonts w:ascii="宋体" w:hAnsi="宋体" w:eastAsia="宋体" w:cs="Times New Roman"/>
          <w:b/>
          <w:bCs/>
          <w:sz w:val="28"/>
          <w:szCs w:val="28"/>
        </w:rPr>
        <w:t>交货期、交货方式及交货地点</w:t>
      </w:r>
    </w:p>
    <w:p>
      <w:pPr>
        <w:spacing w:line="360" w:lineRule="auto"/>
        <w:ind w:firstLine="280" w:firstLineChars="100"/>
        <w:rPr>
          <w:rFonts w:ascii="宋体" w:hAnsi="宋体" w:eastAsia="宋体" w:cs="Times New Roman"/>
          <w:bCs/>
          <w:sz w:val="28"/>
          <w:szCs w:val="28"/>
        </w:rPr>
      </w:pPr>
      <w:r>
        <w:rPr>
          <w:rFonts w:hint="eastAsia" w:ascii="宋体" w:hAnsi="宋体" w:eastAsia="宋体" w:cs="Times New Roman"/>
          <w:bCs/>
          <w:sz w:val="28"/>
          <w:szCs w:val="28"/>
        </w:rPr>
        <w:t>1</w:t>
      </w:r>
      <w:r>
        <w:rPr>
          <w:rFonts w:ascii="宋体" w:hAnsi="宋体" w:eastAsia="宋体" w:cs="Times New Roman"/>
          <w:bCs/>
          <w:sz w:val="28"/>
          <w:szCs w:val="28"/>
        </w:rPr>
        <w:t>. 交货期：</w:t>
      </w:r>
      <w:r>
        <w:rPr>
          <w:rFonts w:hint="eastAsia" w:ascii="宋体" w:hAnsi="宋体" w:eastAsia="宋体" w:cs="Times New Roman"/>
          <w:bCs/>
          <w:sz w:val="28"/>
          <w:szCs w:val="28"/>
        </w:rPr>
        <w:t>合同签订生效后，进口设备（免税）三个月内、国产设备</w:t>
      </w:r>
      <w:r>
        <w:rPr>
          <w:rFonts w:hint="eastAsia" w:ascii="宋体" w:hAnsi="宋体" w:eastAsia="宋体" w:cs="Times New Roman"/>
          <w:bCs/>
          <w:sz w:val="28"/>
          <w:szCs w:val="28"/>
          <w:lang w:eastAsia="zh-CN"/>
        </w:rPr>
        <w:t>及进口设备（非免税</w:t>
      </w:r>
      <w:bookmarkStart w:id="181" w:name="_GoBack"/>
      <w:bookmarkEnd w:id="181"/>
      <w:r>
        <w:rPr>
          <w:rFonts w:hint="eastAsia" w:ascii="宋体" w:hAnsi="宋体" w:eastAsia="宋体" w:cs="Times New Roman"/>
          <w:bCs/>
          <w:sz w:val="28"/>
          <w:szCs w:val="28"/>
          <w:lang w:eastAsia="zh-CN"/>
        </w:rPr>
        <w:t>）</w:t>
      </w:r>
      <w:r>
        <w:rPr>
          <w:rFonts w:hint="eastAsia" w:ascii="宋体" w:hAnsi="宋体" w:eastAsia="宋体" w:cs="Times New Roman"/>
          <w:bCs/>
          <w:sz w:val="28"/>
          <w:szCs w:val="28"/>
        </w:rPr>
        <w:t>一个月内全部设备、材料运抵现场，并安装、调试结束，验收合格，交付买方使用</w:t>
      </w:r>
    </w:p>
    <w:p>
      <w:pPr>
        <w:spacing w:line="360" w:lineRule="auto"/>
        <w:ind w:firstLine="280" w:firstLineChars="100"/>
        <w:rPr>
          <w:rFonts w:ascii="宋体" w:hAnsi="宋体" w:eastAsia="宋体" w:cs="Times New Roman"/>
          <w:bCs/>
          <w:sz w:val="28"/>
          <w:szCs w:val="28"/>
        </w:rPr>
      </w:pPr>
      <w:r>
        <w:rPr>
          <w:rFonts w:hint="eastAsia" w:ascii="宋体" w:hAnsi="宋体" w:eastAsia="宋体" w:cs="Times New Roman"/>
          <w:bCs/>
          <w:sz w:val="28"/>
          <w:szCs w:val="28"/>
        </w:rPr>
        <w:t>2</w:t>
      </w:r>
      <w:r>
        <w:rPr>
          <w:rFonts w:ascii="宋体" w:hAnsi="宋体" w:eastAsia="宋体" w:cs="Times New Roman"/>
          <w:bCs/>
          <w:sz w:val="28"/>
          <w:szCs w:val="28"/>
        </w:rPr>
        <w:t>. 交货方式：</w:t>
      </w:r>
      <w:r>
        <w:rPr>
          <w:rFonts w:hint="eastAsia" w:ascii="宋体" w:hAnsi="宋体" w:eastAsia="宋体" w:cs="Times New Roman"/>
          <w:bCs/>
          <w:sz w:val="28"/>
          <w:szCs w:val="28"/>
        </w:rPr>
        <w:t>中标人在买方指定地点交货，并完成安装、调试。</w:t>
      </w:r>
    </w:p>
    <w:p>
      <w:pPr>
        <w:spacing w:line="360" w:lineRule="auto"/>
        <w:ind w:firstLine="280" w:firstLineChars="100"/>
        <w:rPr>
          <w:rFonts w:ascii="宋体" w:hAnsi="宋体" w:eastAsia="宋体" w:cs="Times New Roman"/>
          <w:bCs/>
          <w:sz w:val="28"/>
          <w:szCs w:val="28"/>
        </w:rPr>
      </w:pPr>
      <w:r>
        <w:rPr>
          <w:rFonts w:ascii="宋体" w:hAnsi="宋体" w:eastAsia="宋体" w:cs="Times New Roman"/>
          <w:bCs/>
          <w:sz w:val="28"/>
          <w:szCs w:val="28"/>
        </w:rPr>
        <w:t>3. 交货地点：</w:t>
      </w:r>
      <w:r>
        <w:rPr>
          <w:rFonts w:hint="eastAsia" w:ascii="宋体" w:hAnsi="宋体" w:eastAsia="宋体" w:cs="Times New Roman"/>
          <w:bCs/>
          <w:sz w:val="28"/>
          <w:szCs w:val="28"/>
        </w:rPr>
        <w:t>南京医科大学。</w:t>
      </w:r>
    </w:p>
    <w:p>
      <w:pPr>
        <w:adjustRightInd/>
        <w:snapToGrid/>
        <w:spacing w:before="100" w:beforeAutospacing="1" w:after="100" w:afterAutospacing="1" w:line="0" w:lineRule="atLeast"/>
        <w:ind w:firstLine="280" w:firstLineChars="100"/>
        <w:rPr>
          <w:rFonts w:ascii="宋体" w:hAnsi="宋体" w:eastAsia="宋体" w:cs="Times New Roman"/>
          <w:kern w:val="2"/>
          <w:sz w:val="28"/>
          <w:szCs w:val="28"/>
        </w:rPr>
      </w:pPr>
      <w:r>
        <w:rPr>
          <w:rFonts w:hint="eastAsia" w:ascii="宋体" w:hAnsi="宋体" w:eastAsia="宋体" w:cs="Times New Roman"/>
          <w:kern w:val="2"/>
          <w:sz w:val="28"/>
          <w:szCs w:val="28"/>
        </w:rPr>
        <w:t>4.交付使用要同时向采购人提供详细的技术文件、安装记录等，同时提供两份产品使用说明书。</w:t>
      </w:r>
    </w:p>
    <w:p>
      <w:pPr>
        <w:adjustRightInd/>
        <w:snapToGrid/>
        <w:spacing w:before="100" w:beforeAutospacing="1" w:after="100" w:afterAutospacing="1" w:line="0" w:lineRule="atLeast"/>
        <w:ind w:firstLine="281" w:firstLineChars="100"/>
        <w:rPr>
          <w:rFonts w:ascii="宋体" w:hAnsi="宋体" w:eastAsia="宋体" w:cs="宋体"/>
          <w:b/>
          <w:bCs/>
          <w:sz w:val="28"/>
          <w:szCs w:val="28"/>
        </w:rPr>
      </w:pPr>
      <w:r>
        <w:rPr>
          <w:rFonts w:hint="eastAsia" w:ascii="宋体" w:hAnsi="宋体" w:eastAsia="宋体" w:cs="宋体"/>
          <w:b/>
          <w:bCs/>
          <w:sz w:val="28"/>
          <w:szCs w:val="28"/>
        </w:rPr>
        <w:t>五、其他技术服务需求：</w:t>
      </w:r>
    </w:p>
    <w:p>
      <w:pPr>
        <w:adjustRightInd/>
        <w:snapToGrid/>
        <w:spacing w:before="100" w:beforeAutospacing="1" w:after="100" w:afterAutospacing="1" w:line="0" w:lineRule="atLeast"/>
        <w:ind w:firstLine="140" w:firstLineChars="50"/>
        <w:rPr>
          <w:rFonts w:ascii="宋体" w:hAnsi="宋体" w:eastAsia="宋体" w:cs="Times New Roman"/>
          <w:kern w:val="2"/>
          <w:sz w:val="28"/>
          <w:szCs w:val="28"/>
        </w:rPr>
      </w:pPr>
      <w:r>
        <w:rPr>
          <w:rFonts w:hint="eastAsia" w:ascii="宋体" w:hAnsi="宋体" w:eastAsia="宋体" w:cs="Times New Roman"/>
          <w:kern w:val="2"/>
          <w:sz w:val="28"/>
          <w:szCs w:val="28"/>
        </w:rPr>
        <w:t>1.供应商须保证本次投标产品系优质材料和先进工艺制成新出厂的产品，且完全与投标文件所述相符。</w:t>
      </w:r>
    </w:p>
    <w:p>
      <w:pPr>
        <w:pStyle w:val="33"/>
        <w:spacing w:line="360" w:lineRule="auto"/>
        <w:ind w:firstLine="560"/>
        <w:rPr>
          <w:rFonts w:hint="eastAsia" w:ascii="宋体" w:hAnsi="宋体" w:eastAsia="宋体" w:cs="宋体"/>
          <w:color w:val="000000"/>
          <w:sz w:val="28"/>
          <w:szCs w:val="28"/>
        </w:rPr>
      </w:pPr>
      <w:r>
        <w:rPr>
          <w:rFonts w:hint="eastAsia" w:ascii="宋体" w:hAnsi="宋体" w:eastAsia="宋体" w:cs="Times New Roman"/>
          <w:sz w:val="28"/>
          <w:szCs w:val="28"/>
        </w:rPr>
        <w:t>2、</w:t>
      </w:r>
      <w:r>
        <w:rPr>
          <w:rFonts w:hint="eastAsia" w:ascii="宋体" w:hAnsi="宋体" w:eastAsia="宋体" w:cs="宋体"/>
          <w:color w:val="000000"/>
          <w:sz w:val="28"/>
          <w:szCs w:val="28"/>
        </w:rPr>
        <w:t>交付使用前发生的产品硬件损坏和不合格，一律退换新品。在质保期开始前三个月内，若发生产品损坏和性能不合格（非使用不当原因造成），除采购人同意修理者外，亦应退换新品。</w:t>
      </w:r>
    </w:p>
    <w:p>
      <w:pPr>
        <w:spacing w:line="360" w:lineRule="auto"/>
        <w:ind w:firstLine="281" w:firstLineChars="100"/>
        <w:rPr>
          <w:rFonts w:ascii="宋体" w:hAnsi="宋体" w:eastAsia="宋体"/>
          <w:b/>
          <w:bCs/>
          <w:sz w:val="28"/>
          <w:szCs w:val="28"/>
        </w:rPr>
      </w:pPr>
      <w:r>
        <w:rPr>
          <w:rFonts w:hint="eastAsia" w:ascii="宋体" w:hAnsi="宋体" w:eastAsia="宋体"/>
          <w:b/>
          <w:bCs/>
          <w:sz w:val="28"/>
          <w:szCs w:val="28"/>
        </w:rPr>
        <w:t>六、</w:t>
      </w:r>
      <w:r>
        <w:rPr>
          <w:rFonts w:ascii="宋体" w:hAnsi="宋体" w:eastAsia="宋体"/>
          <w:b/>
          <w:bCs/>
          <w:sz w:val="28"/>
          <w:szCs w:val="28"/>
        </w:rPr>
        <w:t>货款支付</w:t>
      </w:r>
    </w:p>
    <w:p>
      <w:pPr>
        <w:pStyle w:val="2"/>
        <w:keepNext w:val="0"/>
        <w:keepLines/>
        <w:spacing w:line="360" w:lineRule="auto"/>
        <w:ind w:firstLine="560" w:firstLineChars="200"/>
        <w:jc w:val="left"/>
        <w:rPr>
          <w:rFonts w:hint="eastAsia" w:ascii="宋体" w:hAnsi="宋体" w:eastAsia="宋体"/>
          <w:b/>
          <w:bCs/>
          <w:sz w:val="44"/>
          <w:szCs w:val="44"/>
          <w:lang w:eastAsia="zh-CN"/>
        </w:rPr>
      </w:pPr>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r>
        <w:rPr>
          <w:rFonts w:hint="eastAsia" w:ascii="宋体" w:hAnsi="宋体" w:eastAsia="宋体" w:cs="宋体"/>
          <w:szCs w:val="21"/>
          <w:lang w:eastAsia="zh-CN"/>
        </w:rPr>
        <w:t>。</w:t>
      </w:r>
    </w:p>
    <w:p>
      <w:pPr>
        <w:pStyle w:val="33"/>
        <w:spacing w:line="360" w:lineRule="auto"/>
        <w:ind w:firstLine="560"/>
        <w:rPr>
          <w:rFonts w:hint="eastAsia" w:ascii="宋体" w:hAnsi="宋体" w:eastAsia="宋体" w:cs="宋体"/>
          <w:color w:val="000000"/>
          <w:sz w:val="28"/>
          <w:szCs w:val="28"/>
        </w:rPr>
      </w:pPr>
    </w:p>
    <w:p>
      <w:pPr>
        <w:pStyle w:val="15"/>
        <w:spacing w:line="0" w:lineRule="atLeast"/>
        <w:rPr>
          <w:rFonts w:cs="Times New Roman" w:asciiTheme="minorEastAsia" w:hAnsiTheme="minorEastAsia" w:eastAsiaTheme="minorEastAsia"/>
          <w:kern w:val="2"/>
          <w:sz w:val="28"/>
          <w:szCs w:val="28"/>
        </w:rPr>
      </w:pPr>
      <w:bookmarkStart w:id="166" w:name="_Toc401414769"/>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3"/>
                <w:szCs w:val="23"/>
              </w:rPr>
              <w:t>（保留到小数点后面两位数）</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5分）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1、满足招标文件技术指标、参数要求的得3</w:t>
            </w:r>
            <w:r>
              <w:rPr>
                <w:rFonts w:cs="宋体" w:asciiTheme="minorEastAsia" w:hAnsiTheme="minorEastAsia" w:eastAsiaTheme="minorEastAsia"/>
                <w:bCs/>
                <w:sz w:val="23"/>
                <w:szCs w:val="23"/>
              </w:rPr>
              <w:t>6</w:t>
            </w:r>
            <w:r>
              <w:rPr>
                <w:rFonts w:hint="eastAsia" w:cs="宋体" w:asciiTheme="minorEastAsia" w:hAnsiTheme="minorEastAsia" w:eastAsiaTheme="minorEastAsia"/>
                <w:bCs/>
                <w:sz w:val="23"/>
                <w:szCs w:val="23"/>
              </w:rPr>
              <w:t>分（" ★"项的为主要指标，不满足的每项减</w:t>
            </w:r>
            <w:r>
              <w:rPr>
                <w:rFonts w:hint="eastAsia" w:cs="宋体" w:asciiTheme="minorEastAsia" w:hAnsiTheme="minorEastAsia" w:eastAsiaTheme="minorEastAsia"/>
                <w:bCs/>
                <w:sz w:val="23"/>
                <w:szCs w:val="23"/>
                <w:lang w:val="en-US" w:eastAsia="zh-CN"/>
              </w:rPr>
              <w:t>6</w:t>
            </w:r>
            <w:r>
              <w:rPr>
                <w:rFonts w:hint="eastAsia" w:cs="宋体" w:asciiTheme="minorEastAsia" w:hAnsiTheme="minorEastAsia" w:eastAsiaTheme="minorEastAsia"/>
                <w:bCs/>
                <w:sz w:val="23"/>
                <w:szCs w:val="23"/>
              </w:rPr>
              <w:t>分；其他每有一项偏离减4分；负偏离</w:t>
            </w:r>
            <w:r>
              <w:rPr>
                <w:rFonts w:hint="eastAsia" w:ascii="宋体" w:hAnsi="宋体" w:eastAsia="宋体" w:cs="宋体"/>
                <w:bCs/>
                <w:sz w:val="23"/>
                <w:szCs w:val="23"/>
              </w:rPr>
              <w:t>≥</w:t>
            </w:r>
            <w:r>
              <w:rPr>
                <w:rFonts w:hint="eastAsia" w:cs="宋体" w:asciiTheme="minorEastAsia" w:hAnsiTheme="minorEastAsia" w:eastAsiaTheme="minorEastAsia"/>
                <w:bCs/>
                <w:sz w:val="23"/>
                <w:szCs w:val="23"/>
              </w:rPr>
              <w:t>3项的不得分.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2、每有一项优于招标文件，经评委会认可的加1分，最多加</w:t>
            </w:r>
            <w:r>
              <w:rPr>
                <w:rFonts w:cs="宋体" w:asciiTheme="minorEastAsia" w:hAnsiTheme="minorEastAsia" w:eastAsiaTheme="minorEastAsia"/>
                <w:bCs/>
                <w:sz w:val="23"/>
                <w:szCs w:val="23"/>
              </w:rPr>
              <w:t>4</w:t>
            </w:r>
            <w:r>
              <w:rPr>
                <w:rFonts w:hint="eastAsia" w:cs="宋体" w:asciiTheme="minorEastAsia" w:hAnsiTheme="minorEastAsia" w:eastAsiaTheme="minorEastAsia"/>
                <w:bCs/>
                <w:sz w:val="23"/>
                <w:szCs w:val="23"/>
              </w:rPr>
              <w:t xml:space="preserve">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asciiTheme="minorEastAsia" w:hAnsiTheme="minorEastAsia" w:eastAsiaTheme="minorEastAsia"/>
                <w:bCs/>
                <w:sz w:val="23"/>
                <w:szCs w:val="23"/>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sz w:val="23"/>
                <w:szCs w:val="23"/>
              </w:rPr>
            </w:pPr>
            <w:r>
              <w:rPr>
                <w:rFonts w:hint="eastAsia" w:ascii="宋体" w:hAnsi="宋体" w:eastAsia="宋体" w:cs="宋体"/>
                <w:bCs/>
                <w:sz w:val="21"/>
                <w:szCs w:val="21"/>
              </w:rPr>
              <w:t>3.2</w:t>
            </w:r>
          </w:p>
        </w:tc>
        <w:tc>
          <w:tcPr>
            <w:tcW w:w="1984"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adjustRightInd/>
              <w:snapToGrid/>
              <w:spacing w:after="0"/>
              <w:jc w:val="center"/>
              <w:rPr>
                <w:rFonts w:ascii="Arial" w:hAnsi="Arial" w:cs="Arial"/>
                <w:bCs/>
                <w:sz w:val="23"/>
                <w:szCs w:val="23"/>
              </w:rPr>
            </w:pPr>
            <w:r>
              <w:rPr>
                <w:rFonts w:hint="eastAsia" w:ascii="宋体" w:hAnsi="宋体" w:eastAsia="宋体" w:cs="宋体"/>
                <w:bCs/>
                <w:sz w:val="21"/>
                <w:szCs w:val="21"/>
              </w:rPr>
              <w:t>（15分）</w:t>
            </w: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方案完整、合理可行的得8-10分；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vAlign w:val="center"/>
          </w:tcPr>
          <w:p>
            <w:pPr>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免费质保2年得</w:t>
            </w:r>
            <w:r>
              <w:rPr>
                <w:rFonts w:hint="eastAsia" w:ascii="宋体" w:hAnsi="宋体" w:eastAsia="宋体" w:cs="宋体"/>
                <w:bCs/>
                <w:sz w:val="21"/>
                <w:szCs w:val="21"/>
                <w:lang w:val="en-US" w:eastAsia="zh-CN"/>
              </w:rPr>
              <w:t>1</w:t>
            </w:r>
            <w:r>
              <w:rPr>
                <w:rFonts w:hint="eastAsia" w:ascii="宋体" w:hAnsi="宋体" w:eastAsia="宋体" w:cs="宋体"/>
                <w:bCs/>
                <w:sz w:val="21"/>
                <w:szCs w:val="21"/>
              </w:rPr>
              <w:t>分，</w:t>
            </w:r>
            <w:r>
              <w:rPr>
                <w:rFonts w:hint="eastAsia" w:ascii="宋体" w:hAnsi="宋体" w:eastAsia="宋体" w:cs="宋体"/>
                <w:bCs/>
                <w:sz w:val="21"/>
                <w:szCs w:val="21"/>
                <w:lang w:eastAsia="zh-CN"/>
              </w:rPr>
              <w:t>在此基础上</w:t>
            </w:r>
            <w:r>
              <w:rPr>
                <w:rFonts w:hint="eastAsia" w:ascii="宋体" w:hAnsi="宋体" w:eastAsia="宋体" w:cs="宋体"/>
                <w:bCs/>
                <w:sz w:val="21"/>
                <w:szCs w:val="21"/>
              </w:rPr>
              <w:t>每</w:t>
            </w:r>
            <w:r>
              <w:rPr>
                <w:rFonts w:hint="eastAsia" w:ascii="宋体" w:hAnsi="宋体" w:eastAsia="宋体" w:cs="宋体"/>
                <w:bCs/>
                <w:sz w:val="21"/>
                <w:szCs w:val="21"/>
                <w:lang w:eastAsia="zh-CN"/>
              </w:rPr>
              <w:t>增加</w:t>
            </w:r>
            <w:r>
              <w:rPr>
                <w:rFonts w:hint="eastAsia" w:ascii="宋体" w:hAnsi="宋体" w:eastAsia="宋体" w:cs="宋体"/>
                <w:bCs/>
                <w:sz w:val="21"/>
                <w:szCs w:val="21"/>
              </w:rPr>
              <w:t>一年得</w:t>
            </w:r>
            <w:r>
              <w:rPr>
                <w:rFonts w:hint="eastAsia" w:ascii="宋体" w:hAnsi="宋体" w:eastAsia="宋体" w:cs="宋体"/>
                <w:bCs/>
                <w:sz w:val="21"/>
                <w:szCs w:val="21"/>
                <w:lang w:val="en-US" w:eastAsia="zh-CN"/>
              </w:rPr>
              <w:t>1</w:t>
            </w:r>
            <w:r>
              <w:rPr>
                <w:rFonts w:hint="eastAsia" w:ascii="宋体" w:hAnsi="宋体" w:eastAsia="宋体" w:cs="宋体"/>
                <w:bCs/>
                <w:sz w:val="21"/>
                <w:szCs w:val="21"/>
              </w:rPr>
              <w:t>分，最高不超过3分。</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业绩（5分）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投标人2016年01月01日以来的类似项目业绩，每提供一个得1分，最高得</w:t>
            </w:r>
            <w:r>
              <w:rPr>
                <w:rFonts w:cs="Arial" w:asciiTheme="minorEastAsia" w:hAnsiTheme="minorEastAsia" w:eastAsiaTheme="minorEastAsia"/>
                <w:sz w:val="23"/>
                <w:szCs w:val="23"/>
              </w:rPr>
              <w:t>5</w:t>
            </w:r>
            <w:r>
              <w:rPr>
                <w:rFonts w:hint="eastAsia" w:cs="Arial" w:asciiTheme="minorEastAsia" w:hAnsiTheme="minorEastAsia" w:eastAsiaTheme="minorEastAsia"/>
                <w:sz w:val="23"/>
                <w:szCs w:val="23"/>
              </w:rPr>
              <w:t>分。 （请提供有效的加盖公章的合同复印件，原件备查）</w:t>
            </w:r>
          </w:p>
        </w:tc>
        <w:tc>
          <w:tcPr>
            <w:tcW w:w="798"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671244"/>
      <w:bookmarkEnd w:id="169"/>
      <w:bookmarkStart w:id="170" w:name="_Hlt26955039"/>
      <w:bookmarkEnd w:id="170"/>
      <w:bookmarkStart w:id="171" w:name="_Toc49090576"/>
      <w:bookmarkStart w:id="172" w:name="_Toc120614282"/>
      <w:bookmarkStart w:id="173"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955070"/>
      <w:bookmarkEnd w:id="176"/>
      <w:bookmarkStart w:id="177" w:name="_Hlt26671380"/>
      <w:bookmarkEnd w:id="177"/>
      <w:bookmarkStart w:id="178" w:name="_格式3__银行出具的资信证明"/>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BB8D19"/>
    <w:multiLevelType w:val="singleLevel"/>
    <w:tmpl w:val="B8BB8D19"/>
    <w:lvl w:ilvl="0" w:tentative="0">
      <w:start w:val="2"/>
      <w:numFmt w:val="decimal"/>
      <w:suff w:val="nothing"/>
      <w:lvlText w:val="%1、"/>
      <w:lvlJc w:val="left"/>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90DAC44"/>
    <w:multiLevelType w:val="singleLevel"/>
    <w:tmpl w:val="690DAC44"/>
    <w:lvl w:ilvl="0" w:tentative="0">
      <w:start w:val="3"/>
      <w:numFmt w:val="chineseCounting"/>
      <w:suff w:val="nothing"/>
      <w:lvlText w:val="（%1）"/>
      <w:lvlJc w:val="left"/>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09EE"/>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F807FC"/>
    <w:rsid w:val="06A67F5B"/>
    <w:rsid w:val="08284001"/>
    <w:rsid w:val="09E00F8C"/>
    <w:rsid w:val="0ADA47CA"/>
    <w:rsid w:val="0C180EBA"/>
    <w:rsid w:val="0D7C3718"/>
    <w:rsid w:val="0F752313"/>
    <w:rsid w:val="0FBE7322"/>
    <w:rsid w:val="0FD1242C"/>
    <w:rsid w:val="10B26CB4"/>
    <w:rsid w:val="119B32F6"/>
    <w:rsid w:val="145816CD"/>
    <w:rsid w:val="14CF6F43"/>
    <w:rsid w:val="14F817DB"/>
    <w:rsid w:val="151B0E99"/>
    <w:rsid w:val="17864F68"/>
    <w:rsid w:val="18A80505"/>
    <w:rsid w:val="18DE5A24"/>
    <w:rsid w:val="1B0767C7"/>
    <w:rsid w:val="1BD874CB"/>
    <w:rsid w:val="1C2657EA"/>
    <w:rsid w:val="1C534421"/>
    <w:rsid w:val="1DE36E39"/>
    <w:rsid w:val="2028292B"/>
    <w:rsid w:val="21A863BD"/>
    <w:rsid w:val="224B6541"/>
    <w:rsid w:val="22D94F0A"/>
    <w:rsid w:val="23711F72"/>
    <w:rsid w:val="24911BB8"/>
    <w:rsid w:val="25086568"/>
    <w:rsid w:val="29021183"/>
    <w:rsid w:val="29985913"/>
    <w:rsid w:val="2AB10F4B"/>
    <w:rsid w:val="2AD96EC2"/>
    <w:rsid w:val="2B036B1C"/>
    <w:rsid w:val="2D82734B"/>
    <w:rsid w:val="2DA207F9"/>
    <w:rsid w:val="303B1173"/>
    <w:rsid w:val="30CA663E"/>
    <w:rsid w:val="311B0FC8"/>
    <w:rsid w:val="32CD7129"/>
    <w:rsid w:val="34A91215"/>
    <w:rsid w:val="364C2779"/>
    <w:rsid w:val="368E5A53"/>
    <w:rsid w:val="37291A7B"/>
    <w:rsid w:val="37302267"/>
    <w:rsid w:val="3A6C60EB"/>
    <w:rsid w:val="3BFC2D93"/>
    <w:rsid w:val="3CAE3B50"/>
    <w:rsid w:val="3D0342E9"/>
    <w:rsid w:val="3D077115"/>
    <w:rsid w:val="3E6A131D"/>
    <w:rsid w:val="3F1C226C"/>
    <w:rsid w:val="3F721165"/>
    <w:rsid w:val="40571BFD"/>
    <w:rsid w:val="41CD28F3"/>
    <w:rsid w:val="41DA727A"/>
    <w:rsid w:val="440D1E8B"/>
    <w:rsid w:val="45BB0D03"/>
    <w:rsid w:val="45E71721"/>
    <w:rsid w:val="46E7241A"/>
    <w:rsid w:val="47322D1B"/>
    <w:rsid w:val="485F2A5A"/>
    <w:rsid w:val="49605258"/>
    <w:rsid w:val="49C2736E"/>
    <w:rsid w:val="4ABD1A46"/>
    <w:rsid w:val="4D1937FE"/>
    <w:rsid w:val="4DB926A4"/>
    <w:rsid w:val="4E7A146B"/>
    <w:rsid w:val="4FE9596A"/>
    <w:rsid w:val="521C6C0C"/>
    <w:rsid w:val="52D36703"/>
    <w:rsid w:val="53EF6773"/>
    <w:rsid w:val="56747820"/>
    <w:rsid w:val="56AA4F2E"/>
    <w:rsid w:val="57034DC0"/>
    <w:rsid w:val="57AB2572"/>
    <w:rsid w:val="57AE2BB5"/>
    <w:rsid w:val="59521601"/>
    <w:rsid w:val="5A6F07B8"/>
    <w:rsid w:val="5ACB40C5"/>
    <w:rsid w:val="5AE621E7"/>
    <w:rsid w:val="5E714DDE"/>
    <w:rsid w:val="61DB5282"/>
    <w:rsid w:val="61F8565D"/>
    <w:rsid w:val="62CD3F75"/>
    <w:rsid w:val="64103D49"/>
    <w:rsid w:val="645977C7"/>
    <w:rsid w:val="647B20AC"/>
    <w:rsid w:val="67B062B6"/>
    <w:rsid w:val="680B4B52"/>
    <w:rsid w:val="6A951211"/>
    <w:rsid w:val="6C14114D"/>
    <w:rsid w:val="6C2A57B1"/>
    <w:rsid w:val="70961EDC"/>
    <w:rsid w:val="71740794"/>
    <w:rsid w:val="718B7658"/>
    <w:rsid w:val="71A01282"/>
    <w:rsid w:val="72C0140A"/>
    <w:rsid w:val="739C62E2"/>
    <w:rsid w:val="74D3092F"/>
    <w:rsid w:val="75D67914"/>
    <w:rsid w:val="77C80D59"/>
    <w:rsid w:val="78B6127A"/>
    <w:rsid w:val="79635C6E"/>
    <w:rsid w:val="7A1A2023"/>
    <w:rsid w:val="7A33597D"/>
    <w:rsid w:val="7A912352"/>
    <w:rsid w:val="7B281D3D"/>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字符"/>
    <w:basedOn w:val="19"/>
    <w:link w:val="13"/>
    <w:qFormat/>
    <w:uiPriority w:val="99"/>
    <w:rPr>
      <w:rFonts w:ascii="Tahoma" w:hAnsi="Tahoma"/>
      <w:sz w:val="18"/>
      <w:szCs w:val="18"/>
    </w:rPr>
  </w:style>
  <w:style w:type="character" w:customStyle="1" w:styleId="24">
    <w:name w:val="页脚 字符"/>
    <w:basedOn w:val="19"/>
    <w:link w:val="12"/>
    <w:qFormat/>
    <w:uiPriority w:val="99"/>
    <w:rPr>
      <w:rFonts w:ascii="Tahoma" w:hAnsi="Tahoma"/>
      <w:sz w:val="18"/>
      <w:szCs w:val="18"/>
    </w:rPr>
  </w:style>
  <w:style w:type="character" w:customStyle="1" w:styleId="25">
    <w:name w:val="标题 1 字符"/>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字符"/>
    <w:basedOn w:val="19"/>
    <w:link w:val="4"/>
    <w:qFormat/>
    <w:uiPriority w:val="0"/>
    <w:rPr>
      <w:rFonts w:ascii="Times New Roman" w:hAnsi="Times New Roman" w:eastAsia="宋体" w:cs="Times New Roman"/>
      <w:b/>
      <w:bCs/>
      <w:kern w:val="2"/>
      <w:sz w:val="32"/>
      <w:szCs w:val="32"/>
    </w:rPr>
  </w:style>
  <w:style w:type="character" w:customStyle="1" w:styleId="29">
    <w:name w:val="标题 4 字符"/>
    <w:basedOn w:val="19"/>
    <w:link w:val="6"/>
    <w:qFormat/>
    <w:uiPriority w:val="9"/>
    <w:rPr>
      <w:rFonts w:ascii="Arial" w:hAnsi="Arial" w:eastAsia="黑体" w:cs="Arial"/>
      <w:b/>
      <w:bCs/>
      <w:kern w:val="2"/>
      <w:sz w:val="28"/>
      <w:szCs w:val="28"/>
    </w:rPr>
  </w:style>
  <w:style w:type="character" w:customStyle="1" w:styleId="30">
    <w:name w:val="标题 字符"/>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字符"/>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字符"/>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字符"/>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字符"/>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字符"/>
    <w:basedOn w:val="19"/>
    <w:link w:val="11"/>
    <w:semiHidden/>
    <w:qFormat/>
    <w:uiPriority w:val="99"/>
    <w:rPr>
      <w:rFonts w:ascii="Tahoma" w:hAnsi="Tahoma"/>
      <w:sz w:val="18"/>
      <w:szCs w:val="18"/>
    </w:rPr>
  </w:style>
  <w:style w:type="character" w:customStyle="1" w:styleId="46">
    <w:name w:val="批注文字 字符"/>
    <w:basedOn w:val="19"/>
    <w:link w:val="7"/>
    <w:semiHidden/>
    <w:qFormat/>
    <w:uiPriority w:val="99"/>
    <w:rPr>
      <w:rFonts w:ascii="Tahoma" w:hAnsi="Tahoma"/>
    </w:rPr>
  </w:style>
  <w:style w:type="character" w:customStyle="1" w:styleId="47">
    <w:name w:val="批注主题 字符"/>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2EEC7E-E226-4953-A114-85D625400AC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2249</Words>
  <Characters>12824</Characters>
  <Lines>106</Lines>
  <Paragraphs>30</Paragraphs>
  <TotalTime>2</TotalTime>
  <ScaleCrop>false</ScaleCrop>
  <LinksUpToDate>false</LinksUpToDate>
  <CharactersWithSpaces>15043</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2019-08-01T06:01:00Z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