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ind w:firstLine="0"/>
        <w:jc w:val="center"/>
        <w:rPr>
          <w:rFonts w:ascii="宋体" w:hAnsi="宋体" w:cs="宋体"/>
          <w:b/>
          <w:color w:val="auto"/>
          <w:sz w:val="84"/>
          <w:highlight w:val="none"/>
        </w:rPr>
      </w:pPr>
      <w:bookmarkStart w:id="0" w:name="_Toc523931346"/>
      <w:bookmarkStart w:id="1" w:name="_Hlk100328762"/>
    </w:p>
    <w:p>
      <w:pPr>
        <w:pStyle w:val="25"/>
        <w:widowControl/>
        <w:ind w:firstLine="0"/>
        <w:jc w:val="center"/>
        <w:rPr>
          <w:rFonts w:hint="eastAsia" w:ascii="宋体" w:hAnsi="宋体" w:cs="宋体"/>
          <w:b/>
          <w:color w:val="auto"/>
          <w:sz w:val="84"/>
          <w:highlight w:val="none"/>
        </w:rPr>
      </w:pPr>
    </w:p>
    <w:p>
      <w:pPr>
        <w:pStyle w:val="25"/>
        <w:widowControl/>
        <w:ind w:firstLine="0"/>
        <w:jc w:val="center"/>
        <w:rPr>
          <w:rFonts w:ascii="宋体" w:hAnsi="宋体" w:cs="宋体"/>
          <w:b/>
          <w:color w:val="auto"/>
          <w:sz w:val="84"/>
          <w:highlight w:val="none"/>
        </w:rPr>
      </w:pPr>
    </w:p>
    <w:p>
      <w:pPr>
        <w:pStyle w:val="25"/>
        <w:widowControl/>
        <w:ind w:firstLine="0"/>
        <w:jc w:val="center"/>
        <w:rPr>
          <w:rFonts w:ascii="宋体" w:hAnsi="宋体" w:cs="宋体"/>
          <w:b/>
          <w:color w:val="auto"/>
          <w:sz w:val="52"/>
          <w:szCs w:val="52"/>
          <w:highlight w:val="none"/>
        </w:rPr>
      </w:pPr>
      <w:r>
        <w:rPr>
          <w:rFonts w:hint="eastAsia" w:ascii="宋体" w:hAnsi="宋体" w:cs="宋体"/>
          <w:b/>
          <w:color w:val="auto"/>
          <w:sz w:val="52"/>
          <w:szCs w:val="52"/>
          <w:highlight w:val="none"/>
        </w:rPr>
        <w:t>南京医科大学博学楼A面多媒体教室扩声话筒升级改造项目</w:t>
      </w:r>
    </w:p>
    <w:p>
      <w:pPr>
        <w:pStyle w:val="25"/>
        <w:widowControl/>
        <w:ind w:firstLine="0"/>
        <w:jc w:val="center"/>
        <w:rPr>
          <w:rFonts w:hint="eastAsia" w:ascii="宋体" w:hAnsi="宋体" w:cs="宋体"/>
          <w:b/>
          <w:color w:val="auto"/>
          <w:sz w:val="84"/>
          <w:highlight w:val="none"/>
        </w:rPr>
      </w:pPr>
    </w:p>
    <w:p>
      <w:pPr>
        <w:pStyle w:val="25"/>
        <w:widowControl/>
        <w:ind w:firstLine="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招　标　文　件</w:t>
      </w:r>
    </w:p>
    <w:p>
      <w:pPr>
        <w:pStyle w:val="25"/>
        <w:widowControl/>
        <w:ind w:firstLine="0"/>
        <w:jc w:val="center"/>
        <w:rPr>
          <w:rFonts w:hint="eastAsia" w:ascii="宋体" w:hAnsi="宋体" w:cs="宋体"/>
          <w:b/>
          <w:color w:val="auto"/>
          <w:sz w:val="32"/>
          <w:highlight w:val="none"/>
        </w:rPr>
      </w:pPr>
    </w:p>
    <w:p>
      <w:pPr>
        <w:pStyle w:val="25"/>
        <w:widowControl/>
        <w:ind w:firstLine="964" w:firstLineChars="300"/>
        <w:rPr>
          <w:rFonts w:hint="eastAsia" w:ascii="宋体" w:hAnsi="宋体" w:cs="宋体"/>
          <w:b/>
          <w:color w:val="auto"/>
          <w:sz w:val="32"/>
          <w:highlight w:val="none"/>
        </w:rPr>
      </w:pPr>
      <w:r>
        <w:rPr>
          <w:rFonts w:hint="eastAsia" w:ascii="宋体" w:hAnsi="宋体" w:cs="宋体"/>
          <w:b/>
          <w:color w:val="auto"/>
          <w:sz w:val="32"/>
          <w:highlight w:val="none"/>
        </w:rPr>
        <w:t>项目编号：</w:t>
      </w:r>
      <w:bookmarkStart w:id="175" w:name="_GoBack"/>
      <w:r>
        <w:rPr>
          <w:rFonts w:ascii="宋体" w:hAnsi="宋体" w:cs="宋体"/>
          <w:b/>
          <w:color w:val="auto"/>
          <w:sz w:val="32"/>
          <w:szCs w:val="32"/>
          <w:highlight w:val="none"/>
        </w:rPr>
        <w:t>NJMUZB3012022005 /JG06602213</w:t>
      </w:r>
    </w:p>
    <w:bookmarkEnd w:id="175"/>
    <w:p>
      <w:pPr>
        <w:pStyle w:val="25"/>
        <w:widowControl/>
        <w:spacing w:before="0" w:after="0"/>
        <w:ind w:firstLine="0"/>
        <w:rPr>
          <w:rFonts w:hint="eastAsia" w:ascii="宋体" w:hAnsi="宋体" w:cs="宋体"/>
          <w:color w:val="auto"/>
          <w:highlight w:val="none"/>
        </w:rPr>
      </w:pPr>
    </w:p>
    <w:p>
      <w:pPr>
        <w:pStyle w:val="25"/>
        <w:widowControl/>
        <w:spacing w:before="0" w:after="0"/>
        <w:ind w:firstLine="0"/>
        <w:rPr>
          <w:rFonts w:hint="eastAsia" w:ascii="宋体" w:hAnsi="宋体" w:cs="宋体"/>
          <w:color w:val="auto"/>
          <w:highlight w:val="none"/>
        </w:rPr>
      </w:pPr>
    </w:p>
    <w:p>
      <w:pPr>
        <w:pStyle w:val="25"/>
        <w:widowControl/>
        <w:spacing w:before="0" w:after="0"/>
        <w:ind w:firstLine="0"/>
        <w:rPr>
          <w:rFonts w:hint="eastAsia" w:ascii="宋体" w:hAnsi="宋体" w:cs="宋体"/>
          <w:color w:val="auto"/>
          <w:highlight w:val="none"/>
        </w:rPr>
      </w:pPr>
    </w:p>
    <w:p>
      <w:pPr>
        <w:pStyle w:val="25"/>
        <w:widowControl/>
        <w:ind w:firstLine="0"/>
        <w:jc w:val="center"/>
        <w:rPr>
          <w:rFonts w:ascii="宋体" w:hAnsi="宋体" w:cs="宋体"/>
          <w:b/>
          <w:color w:val="auto"/>
          <w:sz w:val="32"/>
          <w:highlight w:val="none"/>
        </w:rPr>
      </w:pPr>
      <w:r>
        <w:rPr>
          <w:rFonts w:hint="eastAsia" w:ascii="宋体" w:hAnsi="宋体" w:cs="宋体"/>
          <w:b/>
          <w:color w:val="auto"/>
          <w:sz w:val="32"/>
          <w:highlight w:val="none"/>
        </w:rPr>
        <w:t>南京医科大学</w:t>
      </w:r>
    </w:p>
    <w:p>
      <w:pPr>
        <w:pStyle w:val="25"/>
        <w:widowControl/>
        <w:ind w:firstLine="0"/>
        <w:jc w:val="center"/>
        <w:rPr>
          <w:rFonts w:hint="eastAsia" w:ascii="宋体" w:hAnsi="宋体" w:cs="宋体"/>
          <w:b/>
          <w:color w:val="auto"/>
          <w:sz w:val="32"/>
          <w:highlight w:val="none"/>
        </w:rPr>
      </w:pPr>
      <w:r>
        <w:rPr>
          <w:rFonts w:hint="eastAsia" w:ascii="宋体" w:hAnsi="宋体" w:cs="宋体"/>
          <w:b/>
          <w:color w:val="auto"/>
          <w:sz w:val="32"/>
          <w:highlight w:val="none"/>
        </w:rPr>
        <w:t>2</w:t>
      </w:r>
      <w:r>
        <w:rPr>
          <w:rFonts w:ascii="宋体" w:hAnsi="宋体" w:cs="宋体"/>
          <w:b/>
          <w:color w:val="auto"/>
          <w:sz w:val="32"/>
          <w:highlight w:val="none"/>
        </w:rPr>
        <w:t>022</w:t>
      </w:r>
      <w:r>
        <w:rPr>
          <w:rFonts w:hint="eastAsia" w:ascii="宋体" w:hAnsi="宋体" w:cs="宋体"/>
          <w:b/>
          <w:color w:val="auto"/>
          <w:sz w:val="32"/>
          <w:highlight w:val="none"/>
        </w:rPr>
        <w:t>年</w:t>
      </w:r>
      <w:r>
        <w:rPr>
          <w:rFonts w:hint="eastAsia" w:ascii="宋体" w:hAnsi="宋体" w:cs="宋体"/>
          <w:b/>
          <w:color w:val="auto"/>
          <w:sz w:val="32"/>
          <w:highlight w:val="none"/>
          <w:lang w:val="en-US" w:eastAsia="zh-CN"/>
        </w:rPr>
        <w:t>5</w:t>
      </w:r>
      <w:r>
        <w:rPr>
          <w:rFonts w:hint="eastAsia" w:ascii="宋体" w:hAnsi="宋体" w:cs="宋体"/>
          <w:b/>
          <w:color w:val="auto"/>
          <w:sz w:val="32"/>
          <w:highlight w:val="none"/>
        </w:rPr>
        <w:t>月</w:t>
      </w:r>
    </w:p>
    <w:p>
      <w:pPr>
        <w:pStyle w:val="25"/>
        <w:widowControl/>
        <w:ind w:firstLine="0"/>
        <w:jc w:val="center"/>
        <w:rPr>
          <w:rFonts w:hint="eastAsia" w:ascii="宋体" w:hAnsi="宋体" w:cs="宋体"/>
          <w:b/>
          <w:color w:val="auto"/>
          <w:sz w:val="32"/>
          <w:highlight w:val="none"/>
        </w:rPr>
      </w:pPr>
      <w:r>
        <w:rPr>
          <w:rFonts w:hint="eastAsia" w:ascii="宋体" w:hAnsi="宋体" w:cs="宋体"/>
          <w:color w:val="auto"/>
          <w:highlight w:val="none"/>
        </w:rPr>
        <w:br w:type="page"/>
      </w:r>
      <w:bookmarkStart w:id="2" w:name="_Toc517190880"/>
      <w:bookmarkStart w:id="3" w:name="_Toc120614210"/>
      <w:bookmarkStart w:id="4" w:name="_Toc20823272"/>
      <w:bookmarkStart w:id="5" w:name="_Toc513029200"/>
      <w:bookmarkStart w:id="6" w:name="_Toc479757206"/>
      <w:bookmarkStart w:id="7" w:name="_Toc16938516"/>
      <w:bookmarkStart w:id="8" w:name="_Toc523127445"/>
      <w:r>
        <w:rPr>
          <w:rFonts w:hint="eastAsia" w:ascii="宋体" w:hAnsi="宋体" w:cs="宋体"/>
          <w:b/>
          <w:color w:val="auto"/>
          <w:sz w:val="44"/>
          <w:szCs w:val="28"/>
          <w:highlight w:val="none"/>
        </w:rPr>
        <w:t>目录</w:t>
      </w:r>
      <w:bookmarkEnd w:id="2"/>
    </w:p>
    <w:p>
      <w:pPr>
        <w:pStyle w:val="16"/>
        <w:tabs>
          <w:tab w:val="left" w:pos="840"/>
          <w:tab w:val="right" w:leader="dot" w:pos="8296"/>
        </w:tabs>
        <w:spacing w:line="360" w:lineRule="auto"/>
        <w:rPr>
          <w:rFonts w:hint="eastAsia" w:ascii="宋体" w:hAnsi="宋体" w:eastAsia="宋体" w:cs="宋体"/>
          <w:b w:val="0"/>
          <w:caps w:val="0"/>
          <w:color w:val="auto"/>
          <w:sz w:val="28"/>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b w:val="0"/>
          <w:bCs/>
          <w:color w:val="auto"/>
          <w:sz w:val="40"/>
          <w:szCs w:val="28"/>
          <w:highlight w:val="none"/>
        </w:rPr>
        <w:instrText xml:space="preserve"> TOC \o "1-3" \h \z \u </w:instrText>
      </w:r>
      <w:r>
        <w:rPr>
          <w:rFonts w:hint="eastAsia" w:ascii="宋体" w:hAnsi="宋体" w:eastAsia="宋体" w:cs="宋体"/>
          <w:b w:val="0"/>
          <w:bCs/>
          <w:color w:val="auto"/>
          <w:sz w:val="40"/>
          <w:szCs w:val="28"/>
          <w:highlight w:val="none"/>
        </w:rPr>
        <w:fldChar w:fldCharType="separate"/>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HYPERLINK "../../lenovo/Desktop/njmuzb3012020015 南京医科大学档案馆档案远程服务利用系统建设项目招标文件--修改--7.22--最终" \l "_Toc523931345"</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sz w:val="24"/>
          <w:highlight w:val="none"/>
        </w:rPr>
        <w:t>第一章</w:t>
      </w:r>
      <w:r>
        <w:rPr>
          <w:rStyle w:val="22"/>
          <w:rFonts w:hint="eastAsia" w:ascii="宋体" w:hAnsi="宋体" w:eastAsia="宋体" w:cs="宋体"/>
          <w:b w:val="0"/>
          <w:caps w:val="0"/>
          <w:color w:val="auto"/>
          <w:sz w:val="28"/>
          <w:szCs w:val="22"/>
          <w:highlight w:val="none"/>
          <w:u w:val="none"/>
        </w:rPr>
        <w:tab/>
      </w:r>
      <w:r>
        <w:rPr>
          <w:rStyle w:val="22"/>
          <w:rFonts w:hint="eastAsia" w:ascii="宋体" w:hAnsi="宋体" w:eastAsia="宋体" w:cs="宋体"/>
          <w:color w:val="auto"/>
          <w:sz w:val="24"/>
          <w:highlight w:val="none"/>
        </w:rPr>
        <w:t>招标公告</w:t>
      </w:r>
      <w:r>
        <w:rPr>
          <w:rStyle w:val="22"/>
          <w:rFonts w:hint="eastAsia" w:ascii="宋体" w:hAnsi="宋体" w:eastAsia="宋体" w:cs="宋体"/>
          <w:color w:val="auto"/>
          <w:sz w:val="24"/>
          <w:highlight w:val="none"/>
          <w:u w:val="none"/>
        </w:rPr>
        <w:tab/>
      </w:r>
      <w:r>
        <w:rPr>
          <w:rFonts w:hint="eastAsia" w:ascii="宋体" w:hAnsi="宋体" w:eastAsia="宋体" w:cs="宋体"/>
          <w:color w:val="auto"/>
          <w:highlight w:val="none"/>
        </w:rPr>
        <w:fldChar w:fldCharType="begin"/>
      </w:r>
      <w:r>
        <w:rPr>
          <w:rStyle w:val="22"/>
          <w:rFonts w:hint="eastAsia" w:ascii="宋体" w:hAnsi="宋体" w:eastAsia="宋体" w:cs="宋体"/>
          <w:color w:val="auto"/>
          <w:sz w:val="24"/>
          <w:highlight w:val="none"/>
          <w:u w:val="none"/>
        </w:rPr>
        <w:instrText xml:space="preserve"> PAGEREF _Toc523931345 \h </w:instrText>
      </w:r>
      <w:r>
        <w:rPr>
          <w:rFonts w:hint="eastAsia" w:ascii="宋体" w:hAnsi="宋体" w:eastAsia="宋体" w:cs="宋体"/>
          <w:color w:val="auto"/>
          <w:sz w:val="24"/>
          <w:highlight w:val="none"/>
        </w:rPr>
        <w:fldChar w:fldCharType="separate"/>
      </w:r>
      <w:r>
        <w:rPr>
          <w:rStyle w:val="22"/>
          <w:rFonts w:hint="eastAsia" w:ascii="宋体" w:hAnsi="宋体" w:eastAsia="宋体" w:cs="宋体"/>
          <w:color w:val="auto"/>
          <w:sz w:val="24"/>
          <w:highlight w:val="none"/>
          <w:u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spacing w:line="360" w:lineRule="auto"/>
        <w:rPr>
          <w:rFonts w:hint="eastAsia" w:ascii="宋体" w:hAnsi="宋体" w:eastAsia="宋体" w:cs="宋体"/>
          <w:b w:val="0"/>
          <w:caps w:val="0"/>
          <w:color w:val="auto"/>
          <w:sz w:val="28"/>
          <w:szCs w:val="22"/>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HYPERLINK "../../lenovo/Desktop/njmuzb3012020015 南京医科大学档案馆档案远程服务利用系统建设项目招标文件--修改--7.22--最终" \l "_Toc523931346"</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sz w:val="24"/>
          <w:highlight w:val="none"/>
        </w:rPr>
        <w:t>第二章投标人须知</w:t>
      </w:r>
      <w:r>
        <w:rPr>
          <w:rStyle w:val="22"/>
          <w:rFonts w:hint="eastAsia" w:ascii="宋体" w:hAnsi="宋体" w:eastAsia="宋体" w:cs="宋体"/>
          <w:color w:val="auto"/>
          <w:sz w:val="24"/>
          <w:highlight w:val="none"/>
          <w:u w:val="none"/>
        </w:rPr>
        <w:tab/>
      </w:r>
      <w:r>
        <w:rPr>
          <w:rFonts w:hint="eastAsia" w:ascii="宋体" w:hAnsi="宋体" w:eastAsia="宋体" w:cs="宋体"/>
          <w:color w:val="auto"/>
          <w:highlight w:val="none"/>
        </w:rPr>
        <w:fldChar w:fldCharType="begin"/>
      </w:r>
      <w:r>
        <w:rPr>
          <w:rStyle w:val="22"/>
          <w:rFonts w:hint="eastAsia" w:ascii="宋体" w:hAnsi="宋体" w:eastAsia="宋体" w:cs="宋体"/>
          <w:color w:val="auto"/>
          <w:sz w:val="24"/>
          <w:highlight w:val="none"/>
          <w:u w:val="none"/>
        </w:rPr>
        <w:instrText xml:space="preserve"> PAGEREF _Toc523931346 \h </w:instrText>
      </w:r>
      <w:r>
        <w:rPr>
          <w:rFonts w:hint="eastAsia" w:ascii="宋体" w:hAnsi="宋体" w:eastAsia="宋体" w:cs="宋体"/>
          <w:color w:val="auto"/>
          <w:sz w:val="24"/>
          <w:highlight w:val="none"/>
        </w:rPr>
        <w:fldChar w:fldCharType="separate"/>
      </w:r>
      <w:r>
        <w:rPr>
          <w:rStyle w:val="22"/>
          <w:rFonts w:hint="eastAsia" w:ascii="宋体" w:hAnsi="宋体" w:eastAsia="宋体" w:cs="宋体"/>
          <w:color w:val="auto"/>
          <w:sz w:val="24"/>
          <w:highlight w:val="none"/>
          <w:u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spacing w:line="360" w:lineRule="auto"/>
        <w:rPr>
          <w:rFonts w:hint="eastAsia" w:ascii="宋体" w:hAnsi="宋体" w:eastAsia="宋体" w:cs="宋体"/>
          <w:b w:val="0"/>
          <w:caps w:val="0"/>
          <w:color w:val="auto"/>
          <w:sz w:val="28"/>
          <w:szCs w:val="22"/>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HYPERLINK "../../lenovo/Desktop/njmuzb3012020015 南京医科大学档案馆档案远程服务利用系统建设项目招标文件--修改--7.22--最终" \l "_Toc523931347"</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sz w:val="24"/>
          <w:highlight w:val="none"/>
        </w:rPr>
        <w:t>第三章项目需求</w:t>
      </w:r>
      <w:r>
        <w:rPr>
          <w:rStyle w:val="22"/>
          <w:rFonts w:hint="eastAsia" w:ascii="宋体" w:hAnsi="宋体" w:eastAsia="宋体" w:cs="宋体"/>
          <w:color w:val="auto"/>
          <w:sz w:val="24"/>
          <w:highlight w:val="none"/>
          <w:u w:val="none"/>
        </w:rPr>
        <w:tab/>
      </w:r>
      <w:r>
        <w:rPr>
          <w:rFonts w:hint="eastAsia" w:ascii="宋体" w:hAnsi="宋体" w:eastAsia="宋体" w:cs="宋体"/>
          <w:color w:val="auto"/>
          <w:highlight w:val="none"/>
        </w:rPr>
        <w:fldChar w:fldCharType="begin"/>
      </w:r>
      <w:r>
        <w:rPr>
          <w:rStyle w:val="22"/>
          <w:rFonts w:hint="eastAsia" w:ascii="宋体" w:hAnsi="宋体" w:eastAsia="宋体" w:cs="宋体"/>
          <w:color w:val="auto"/>
          <w:sz w:val="24"/>
          <w:highlight w:val="none"/>
          <w:u w:val="none"/>
        </w:rPr>
        <w:instrText xml:space="preserve"> PAGEREF _Toc523931347 \h </w:instrText>
      </w:r>
      <w:r>
        <w:rPr>
          <w:rFonts w:hint="eastAsia" w:ascii="宋体" w:hAnsi="宋体" w:eastAsia="宋体" w:cs="宋体"/>
          <w:color w:val="auto"/>
          <w:sz w:val="24"/>
          <w:highlight w:val="none"/>
        </w:rPr>
        <w:fldChar w:fldCharType="separate"/>
      </w:r>
      <w:r>
        <w:rPr>
          <w:rStyle w:val="22"/>
          <w:rFonts w:hint="eastAsia" w:ascii="宋体" w:hAnsi="宋体" w:eastAsia="宋体" w:cs="宋体"/>
          <w:color w:val="auto"/>
          <w:sz w:val="24"/>
          <w:highlight w:val="none"/>
          <w:u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spacing w:line="360" w:lineRule="auto"/>
        <w:rPr>
          <w:rFonts w:hint="eastAsia" w:ascii="宋体" w:hAnsi="宋体" w:eastAsia="宋体" w:cs="宋体"/>
          <w:b w:val="0"/>
          <w:caps w:val="0"/>
          <w:color w:val="auto"/>
          <w:sz w:val="28"/>
          <w:szCs w:val="22"/>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HYPERLINK "../../lenovo/Desktop/njmuzb3012020015 南京医科大学档案馆档案远程服务利用系统建设项目招标文件--修改--7.22--最终" \l "_Toc523931348"</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sz w:val="24"/>
          <w:highlight w:val="none"/>
        </w:rPr>
        <w:t>第四章评标方法与评标标准</w:t>
      </w:r>
      <w:r>
        <w:rPr>
          <w:rStyle w:val="22"/>
          <w:rFonts w:hint="eastAsia" w:ascii="宋体" w:hAnsi="宋体" w:eastAsia="宋体" w:cs="宋体"/>
          <w:color w:val="auto"/>
          <w:sz w:val="24"/>
          <w:highlight w:val="none"/>
          <w:u w:val="none"/>
        </w:rPr>
        <w:tab/>
      </w:r>
      <w:r>
        <w:rPr>
          <w:rFonts w:hint="eastAsia" w:ascii="宋体" w:hAnsi="宋体" w:eastAsia="宋体" w:cs="宋体"/>
          <w:color w:val="auto"/>
          <w:highlight w:val="none"/>
        </w:rPr>
        <w:fldChar w:fldCharType="begin"/>
      </w:r>
      <w:r>
        <w:rPr>
          <w:rStyle w:val="22"/>
          <w:rFonts w:hint="eastAsia" w:ascii="宋体" w:hAnsi="宋体" w:eastAsia="宋体" w:cs="宋体"/>
          <w:color w:val="auto"/>
          <w:sz w:val="24"/>
          <w:highlight w:val="none"/>
          <w:u w:val="none"/>
        </w:rPr>
        <w:instrText xml:space="preserve"> PAGEREF _Toc523931348 \h </w:instrText>
      </w:r>
      <w:r>
        <w:rPr>
          <w:rFonts w:hint="eastAsia" w:ascii="宋体" w:hAnsi="宋体" w:eastAsia="宋体" w:cs="宋体"/>
          <w:color w:val="auto"/>
          <w:sz w:val="24"/>
          <w:highlight w:val="none"/>
        </w:rPr>
        <w:fldChar w:fldCharType="separate"/>
      </w:r>
      <w:r>
        <w:rPr>
          <w:rStyle w:val="22"/>
          <w:rFonts w:hint="eastAsia" w:ascii="宋体" w:hAnsi="宋体" w:eastAsia="宋体" w:cs="宋体"/>
          <w:color w:val="auto"/>
          <w:sz w:val="24"/>
          <w:highlight w:val="none"/>
          <w:u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spacing w:line="360" w:lineRule="auto"/>
        <w:rPr>
          <w:rFonts w:hint="eastAsia" w:ascii="宋体" w:hAnsi="宋体" w:eastAsia="宋体" w:cs="宋体"/>
          <w:b w:val="0"/>
          <w:caps w:val="0"/>
          <w:color w:val="auto"/>
          <w:sz w:val="28"/>
          <w:szCs w:val="22"/>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HYPERLINK "../../lenovo/Desktop/njmuzb3012020015 南京医科大学档案馆档案远程服务利用系统建设项目招标文件--修改--7.22--最终" \l "_Toc523931349"</w:instrText>
      </w:r>
      <w:r>
        <w:rPr>
          <w:rFonts w:hint="eastAsia" w:ascii="宋体" w:hAnsi="宋体" w:eastAsia="宋体" w:cs="宋体"/>
          <w:color w:val="auto"/>
          <w:highlight w:val="none"/>
        </w:rPr>
        <w:fldChar w:fldCharType="separate"/>
      </w:r>
      <w:r>
        <w:rPr>
          <w:rStyle w:val="22"/>
          <w:rFonts w:hint="eastAsia" w:ascii="宋体" w:hAnsi="宋体" w:eastAsia="宋体" w:cs="宋体"/>
          <w:color w:val="auto"/>
          <w:sz w:val="24"/>
          <w:highlight w:val="none"/>
        </w:rPr>
        <w:t>第五章投标文件格式</w:t>
      </w:r>
      <w:r>
        <w:rPr>
          <w:rStyle w:val="22"/>
          <w:rFonts w:hint="eastAsia" w:ascii="宋体" w:hAnsi="宋体" w:eastAsia="宋体" w:cs="宋体"/>
          <w:color w:val="auto"/>
          <w:sz w:val="24"/>
          <w:highlight w:val="none"/>
          <w:u w:val="none"/>
        </w:rPr>
        <w:tab/>
      </w:r>
      <w:r>
        <w:rPr>
          <w:rFonts w:hint="eastAsia" w:ascii="宋体" w:hAnsi="宋体" w:eastAsia="宋体" w:cs="宋体"/>
          <w:color w:val="auto"/>
          <w:highlight w:val="none"/>
        </w:rPr>
        <w:fldChar w:fldCharType="begin"/>
      </w:r>
      <w:r>
        <w:rPr>
          <w:rStyle w:val="22"/>
          <w:rFonts w:hint="eastAsia" w:ascii="宋体" w:hAnsi="宋体" w:eastAsia="宋体" w:cs="宋体"/>
          <w:color w:val="auto"/>
          <w:sz w:val="24"/>
          <w:highlight w:val="none"/>
          <w:u w:val="none"/>
        </w:rPr>
        <w:instrText xml:space="preserve"> PAGEREF _Toc523931349 \h </w:instrText>
      </w:r>
      <w:r>
        <w:rPr>
          <w:rFonts w:hint="eastAsia" w:ascii="宋体" w:hAnsi="宋体" w:eastAsia="宋体" w:cs="宋体"/>
          <w:color w:val="auto"/>
          <w:sz w:val="24"/>
          <w:highlight w:val="none"/>
        </w:rPr>
        <w:fldChar w:fldCharType="separate"/>
      </w:r>
      <w:r>
        <w:rPr>
          <w:rStyle w:val="22"/>
          <w:rFonts w:hint="eastAsia" w:ascii="宋体" w:hAnsi="宋体" w:eastAsia="宋体" w:cs="宋体"/>
          <w:color w:val="auto"/>
          <w:sz w:val="24"/>
          <w:highlight w:val="none"/>
          <w:u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r>
        <w:rPr>
          <w:rFonts w:hint="eastAsia" w:ascii="宋体" w:hAnsi="宋体" w:eastAsia="宋体" w:cs="宋体"/>
          <w:color w:val="auto"/>
          <w:sz w:val="24"/>
          <w:szCs w:val="24"/>
          <w:highlight w:val="none"/>
        </w:rPr>
        <w:t>第六章拟签订的合同文本</w:t>
      </w:r>
      <w:r>
        <w:rPr>
          <w:rFonts w:hint="eastAsia" w:ascii="宋体" w:hAnsi="宋体" w:eastAsia="宋体" w:cs="宋体"/>
          <w:color w:val="auto"/>
          <w:highlight w:val="none"/>
        </w:rPr>
        <w:tab/>
      </w:r>
      <w:r>
        <w:rPr>
          <w:rFonts w:hint="eastAsia" w:ascii="宋体" w:hAnsi="宋体" w:eastAsia="宋体" w:cs="宋体"/>
          <w:color w:val="auto"/>
          <w:sz w:val="24"/>
          <w:highlight w:val="none"/>
        </w:rPr>
        <w:t>28</w:t>
      </w:r>
    </w:p>
    <w:p>
      <w:pPr>
        <w:spacing w:line="360" w:lineRule="auto"/>
        <w:jc w:val="center"/>
        <w:outlineLvl w:val="0"/>
        <w:rPr>
          <w:rFonts w:hint="eastAsia" w:ascii="宋体" w:hAnsi="宋体" w:eastAsia="宋体" w:cs="宋体"/>
          <w:b/>
          <w:color w:val="auto"/>
          <w:sz w:val="44"/>
          <w:highlight w:val="none"/>
        </w:rPr>
      </w:pPr>
    </w:p>
    <w:p>
      <w:pPr>
        <w:spacing w:line="480" w:lineRule="auto"/>
        <w:rPr>
          <w:rFonts w:hint="eastAsia" w:ascii="宋体" w:hAnsi="宋体" w:eastAsia="宋体" w:cs="宋体"/>
          <w:b/>
          <w:color w:val="auto"/>
          <w:sz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3"/>
    <w:p>
      <w:pPr>
        <w:pStyle w:val="3"/>
        <w:pageBreakBefore/>
        <w:widowControl/>
        <w:ind w:left="720"/>
        <w:rPr>
          <w:rFonts w:hint="eastAsia" w:ascii="宋体" w:hAnsi="宋体" w:eastAsia="宋体" w:cs="宋体"/>
          <w:b/>
          <w:color w:val="auto"/>
          <w:sz w:val="44"/>
          <w:highlight w:val="none"/>
        </w:rPr>
      </w:pPr>
      <w:bookmarkStart w:id="9" w:name="_Toc523931345"/>
      <w:r>
        <w:rPr>
          <w:rFonts w:hint="eastAsia" w:ascii="宋体" w:hAnsi="宋体" w:eastAsia="宋体" w:cs="宋体"/>
          <w:b/>
          <w:color w:val="auto"/>
          <w:sz w:val="44"/>
          <w:highlight w:val="none"/>
        </w:rPr>
        <w:t>第一章 招标公告</w:t>
      </w:r>
      <w:bookmarkEnd w:id="9"/>
    </w:p>
    <w:p>
      <w:pPr>
        <w:rPr>
          <w:rFonts w:hint="eastAsia" w:ascii="宋体" w:hAnsi="宋体" w:eastAsia="宋体" w:cs="宋体"/>
          <w:color w:val="auto"/>
          <w:highlight w:val="none"/>
        </w:rPr>
      </w:pPr>
    </w:p>
    <w:bookmarkEnd w:id="4"/>
    <w:bookmarkEnd w:id="5"/>
    <w:bookmarkEnd w:id="6"/>
    <w:bookmarkEnd w:id="7"/>
    <w:bookmarkEnd w:id="8"/>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南京医科大学博学楼A面多媒体教室扩声话筒升级改造项目公开招标，相应资金已落实，欢迎符合招标公告资质要求的投标人前来投标。</w:t>
      </w: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一、采购项目名称及编号</w:t>
      </w:r>
    </w:p>
    <w:p>
      <w:pPr>
        <w:spacing w:after="0" w:line="360" w:lineRule="auto"/>
        <w:ind w:left="284" w:leftChars="129" w:firstLine="139" w:firstLineChars="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（一）采购项目名称：南京医科大学博学楼A面多媒体教室扩声话筒升级改造项目</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w:t>
      </w:r>
      <w:r>
        <w:rPr>
          <w:rFonts w:hint="eastAsia" w:ascii="宋体" w:hAnsi="宋体" w:eastAsia="宋体" w:cs="宋体"/>
          <w:color w:val="auto"/>
          <w:sz w:val="24"/>
          <w:szCs w:val="24"/>
          <w:highlight w:val="none"/>
        </w:rPr>
        <w:t>购项目编号</w:t>
      </w:r>
      <w:r>
        <w:rPr>
          <w:rFonts w:ascii="宋体" w:hAnsi="宋体" w:eastAsia="宋体" w:cs="宋体"/>
          <w:color w:val="auto"/>
          <w:sz w:val="24"/>
          <w:szCs w:val="24"/>
          <w:highlight w:val="none"/>
        </w:rPr>
        <w:t>NJMUZB3012022005/JG06602213</w:t>
      </w:r>
    </w:p>
    <w:p>
      <w:p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二、采购项目的预算金额</w:t>
      </w:r>
      <w:r>
        <w:rPr>
          <w:rFonts w:hint="eastAsia" w:ascii="宋体" w:hAnsi="宋体" w:eastAsia="宋体" w:cs="宋体"/>
          <w:color w:val="auto"/>
          <w:sz w:val="24"/>
          <w:szCs w:val="24"/>
          <w:highlight w:val="none"/>
        </w:rPr>
        <w:t>: 人民币</w:t>
      </w:r>
      <w:r>
        <w:rPr>
          <w:rFonts w:ascii="宋体" w:hAnsi="宋体" w:eastAsia="宋体" w:cs="宋体"/>
          <w:color w:val="auto"/>
          <w:sz w:val="24"/>
          <w:szCs w:val="24"/>
          <w:highlight w:val="none"/>
        </w:rPr>
        <w:t>12.96</w:t>
      </w:r>
      <w:r>
        <w:rPr>
          <w:rFonts w:hint="eastAsia" w:ascii="宋体" w:hAnsi="宋体" w:eastAsia="宋体" w:cs="宋体"/>
          <w:color w:val="auto"/>
          <w:sz w:val="24"/>
          <w:szCs w:val="24"/>
          <w:highlight w:val="none"/>
        </w:rPr>
        <w:t>万元</w:t>
      </w: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三、采购项目需求</w:t>
      </w: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项目具体要求详见第三章：项目需求。</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（二）该项目一律采用人民币报价(包干价)，其他币种报价不予接受，后果由投标人承担。</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（三）如为进口设备，需提供免税报价。</w:t>
      </w: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四、投标人资格要求：</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（一）符合政府采购法第二十二条第一款规定的条件，并提供下列材料</w:t>
      </w:r>
      <w:r>
        <w:rPr>
          <w:rFonts w:hint="eastAsia" w:ascii="宋体" w:hAnsi="宋体" w:eastAsia="宋体" w:cs="宋体"/>
          <w:b/>
          <w:bCs/>
          <w:color w:val="auto"/>
          <w:sz w:val="24"/>
          <w:szCs w:val="24"/>
          <w:highlight w:val="none"/>
        </w:rPr>
        <w:t>（注：分别提供纸质材料并加盖公章，原件备查）</w:t>
      </w:r>
      <w:r>
        <w:rPr>
          <w:rFonts w:hint="eastAsia" w:ascii="宋体" w:hAnsi="宋体" w:eastAsia="宋体" w:cs="宋体"/>
          <w:color w:val="auto"/>
          <w:sz w:val="24"/>
          <w:szCs w:val="24"/>
          <w:highlight w:val="none"/>
        </w:rPr>
        <w:t>；</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1、具有独立承担民事责任的能力。法人或者其他组织的营业执照等证明文件，法人和授权代表的身份证明；</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参加本次采购活动前六个月内任一月份的资产负债表和利润表，或2020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有依法缴纳税收和社会保障资金的良好记录（提供参加本次采购活动前六个月内任一月份依法缴纳税收的凭据，以及缴纳社会保险的凭据（专用收据或社会保险的凭据。依法免税或不需要缴纳社会保障资金的投标人，应提供相应文件证明）；</w:t>
      </w:r>
    </w:p>
    <w:p>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4、具备履行合同所必需的设备和专业技术能力的证明材料；</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6、未被“信用中国”网站（www.creditchina.gov.cn）列入失信被执行人、重大税收违法案件当事人名单、政府采购严重失信行为记录名单。</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（二）其他资格要求：无</w:t>
      </w:r>
    </w:p>
    <w:p>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（三）本项目不接受联合体投标。</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（四）本项目不接受进口设备。</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（五）本项目不允许分包或者转包。</w:t>
      </w: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五、获取招标文件的信息及方式</w:t>
      </w:r>
    </w:p>
    <w:p>
      <w:pPr>
        <w:pStyle w:val="19"/>
        <w:spacing w:after="0" w:line="360" w:lineRule="auto"/>
        <w:ind w:right="1470" w:firstLine="480"/>
        <w:rPr>
          <w:rFonts w:hint="eastAsia" w:ascii="宋体" w:hAnsi="宋体" w:cs="宋体"/>
          <w:color w:val="auto"/>
          <w:sz w:val="24"/>
          <w:szCs w:val="24"/>
          <w:highlight w:val="none"/>
        </w:rPr>
      </w:pPr>
      <w:bookmarkStart w:id="10" w:name="_Hlk100322431"/>
      <w:r>
        <w:rPr>
          <w:rFonts w:hint="eastAsia" w:ascii="宋体" w:hAnsi="宋体" w:cs="宋体"/>
          <w:color w:val="auto"/>
          <w:sz w:val="24"/>
          <w:szCs w:val="24"/>
          <w:highlight w:val="none"/>
        </w:rPr>
        <w:t>1、公告期限：自采购公告发布之日起5个工作日</w:t>
      </w:r>
    </w:p>
    <w:p>
      <w:pPr>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2、获取方式：南京医科大学校内网</w:t>
      </w:r>
    </w:p>
    <w:bookmarkEnd w:id="10"/>
    <w:p>
      <w:pPr>
        <w:pStyle w:val="28"/>
        <w:spacing w:after="0" w:line="360" w:lineRule="auto"/>
        <w:ind w:left="0" w:firstLine="482" w:firstLineChars="200"/>
        <w:jc w:val="both"/>
        <w:rPr>
          <w:rFonts w:eastAsia="宋体" w:cs="宋体"/>
          <w:b/>
          <w:bCs/>
          <w:color w:val="auto"/>
          <w:kern w:val="2"/>
          <w:sz w:val="24"/>
          <w:szCs w:val="24"/>
          <w:highlight w:val="none"/>
        </w:rPr>
      </w:pPr>
      <w:r>
        <w:rPr>
          <w:rFonts w:eastAsia="宋体" w:cs="宋体"/>
          <w:b/>
          <w:bCs/>
          <w:color w:val="auto"/>
          <w:kern w:val="2"/>
          <w:sz w:val="24"/>
          <w:szCs w:val="24"/>
          <w:highlight w:val="none"/>
        </w:rPr>
        <w:t>六、投标截止时间及开标信息</w:t>
      </w:r>
    </w:p>
    <w:p>
      <w:pPr>
        <w:spacing w:after="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（一）投标文件接收开始时间：2022年</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25</w:t>
      </w:r>
      <w:r>
        <w:rPr>
          <w:rFonts w:hint="eastAsia" w:ascii="宋体" w:hAnsi="宋体" w:eastAsia="宋体" w:cs="宋体"/>
          <w:color w:val="auto"/>
          <w:kern w:val="2"/>
          <w:sz w:val="24"/>
          <w:szCs w:val="24"/>
          <w:highlight w:val="none"/>
        </w:rPr>
        <w:t>日下午</w:t>
      </w:r>
      <w:r>
        <w:rPr>
          <w:rFonts w:ascii="宋体" w:hAnsi="宋体" w:eastAsia="宋体" w:cs="宋体"/>
          <w:color w:val="auto"/>
          <w:kern w:val="2"/>
          <w:sz w:val="24"/>
          <w:szCs w:val="24"/>
          <w:highlight w:val="none"/>
        </w:rPr>
        <w:t>13</w:t>
      </w:r>
      <w:r>
        <w:rPr>
          <w:rFonts w:hint="eastAsia" w:ascii="宋体" w:hAnsi="宋体" w:eastAsia="宋体" w:cs="宋体"/>
          <w:color w:val="auto"/>
          <w:kern w:val="2"/>
          <w:sz w:val="24"/>
          <w:szCs w:val="24"/>
          <w:highlight w:val="none"/>
        </w:rPr>
        <w:t>:</w:t>
      </w:r>
      <w:r>
        <w:rPr>
          <w:rFonts w:ascii="宋体" w:hAnsi="宋体" w:eastAsia="宋体" w:cs="宋体"/>
          <w:color w:val="auto"/>
          <w:kern w:val="2"/>
          <w:sz w:val="24"/>
          <w:szCs w:val="24"/>
          <w:highlight w:val="none"/>
        </w:rPr>
        <w:t>30</w:t>
      </w:r>
      <w:r>
        <w:rPr>
          <w:rFonts w:hint="eastAsia" w:ascii="宋体" w:hAnsi="宋体" w:eastAsia="宋体" w:cs="宋体"/>
          <w:color w:val="auto"/>
          <w:kern w:val="2"/>
          <w:sz w:val="24"/>
          <w:szCs w:val="24"/>
          <w:highlight w:val="none"/>
        </w:rPr>
        <w:t>（北京时间）</w:t>
      </w:r>
    </w:p>
    <w:p>
      <w:pPr>
        <w:spacing w:after="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投标文件接收截止时间：2022年</w:t>
      </w:r>
      <w:r>
        <w:rPr>
          <w:rFonts w:hint="eastAsia" w:ascii="宋体" w:hAnsi="宋体" w:eastAsia="宋体" w:cs="宋体"/>
          <w:color w:val="auto"/>
          <w:kern w:val="2"/>
          <w:sz w:val="24"/>
          <w:szCs w:val="24"/>
          <w:highlight w:val="none"/>
          <w:lang w:val="en-US" w:eastAsia="zh-CN"/>
        </w:rPr>
        <w:t>5</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25</w:t>
      </w:r>
      <w:r>
        <w:rPr>
          <w:rFonts w:hint="eastAsia" w:ascii="宋体" w:hAnsi="宋体" w:eastAsia="宋体" w:cs="宋体"/>
          <w:color w:val="auto"/>
          <w:kern w:val="2"/>
          <w:sz w:val="24"/>
          <w:szCs w:val="24"/>
          <w:highlight w:val="none"/>
        </w:rPr>
        <w:t>日下午</w:t>
      </w:r>
      <w:r>
        <w:rPr>
          <w:rFonts w:ascii="宋体" w:hAnsi="宋体" w:eastAsia="宋体" w:cs="宋体"/>
          <w:color w:val="auto"/>
          <w:kern w:val="2"/>
          <w:sz w:val="24"/>
          <w:szCs w:val="24"/>
          <w:highlight w:val="none"/>
        </w:rPr>
        <w:t>14</w:t>
      </w:r>
      <w:r>
        <w:rPr>
          <w:rFonts w:hint="eastAsia" w:ascii="宋体" w:hAnsi="宋体" w:eastAsia="宋体" w:cs="宋体"/>
          <w:color w:val="auto"/>
          <w:kern w:val="2"/>
          <w:sz w:val="24"/>
          <w:szCs w:val="24"/>
          <w:highlight w:val="none"/>
        </w:rPr>
        <w:t>:</w:t>
      </w:r>
      <w:r>
        <w:rPr>
          <w:rFonts w:ascii="宋体" w:hAnsi="宋体" w:eastAsia="宋体" w:cs="宋体"/>
          <w:color w:val="auto"/>
          <w:kern w:val="2"/>
          <w:sz w:val="24"/>
          <w:szCs w:val="24"/>
          <w:highlight w:val="none"/>
        </w:rPr>
        <w:t>00</w:t>
      </w:r>
      <w:r>
        <w:rPr>
          <w:rFonts w:hint="eastAsia" w:ascii="宋体" w:hAnsi="宋体" w:eastAsia="宋体" w:cs="宋体"/>
          <w:color w:val="auto"/>
          <w:kern w:val="2"/>
          <w:sz w:val="24"/>
          <w:szCs w:val="24"/>
          <w:highlight w:val="none"/>
        </w:rPr>
        <w:t>（北京时间）</w:t>
      </w:r>
    </w:p>
    <w:p>
      <w:pPr>
        <w:spacing w:after="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投标文件接收地点：</w:t>
      </w:r>
      <w:bookmarkStart w:id="11" w:name="_Hlk100320043"/>
      <w:r>
        <w:rPr>
          <w:rFonts w:hint="eastAsia" w:ascii="宋体" w:hAnsi="宋体" w:eastAsia="宋体" w:cs="宋体"/>
          <w:color w:val="auto"/>
          <w:kern w:val="2"/>
          <w:sz w:val="24"/>
          <w:szCs w:val="24"/>
          <w:highlight w:val="none"/>
        </w:rPr>
        <w:t>南京市鼓楼区清江南路18号鼓楼创新广场D栋11楼开标2室</w:t>
      </w:r>
    </w:p>
    <w:bookmarkEnd w:id="11"/>
    <w:p>
      <w:pPr>
        <w:spacing w:after="0"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w:t>
      </w:r>
      <w:r>
        <w:rPr>
          <w:rFonts w:hint="eastAsia" w:ascii="宋体" w:hAnsi="宋体" w:eastAsia="宋体" w:cs="宋体"/>
          <w:color w:val="auto"/>
          <w:kern w:val="2"/>
          <w:sz w:val="24"/>
          <w:szCs w:val="24"/>
          <w:highlight w:val="none"/>
        </w:rPr>
        <w:t>开标时间：2022年</w:t>
      </w:r>
      <w:r>
        <w:rPr>
          <w:rFonts w:hint="eastAsia" w:ascii="宋体" w:hAnsi="宋体" w:eastAsia="宋体" w:cs="宋体"/>
          <w:color w:val="auto"/>
          <w:kern w:val="2"/>
          <w:sz w:val="24"/>
          <w:szCs w:val="24"/>
          <w:highlight w:val="none"/>
          <w:lang w:val="en-US" w:eastAsia="zh-CN"/>
        </w:rPr>
        <w:t>5</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25</w:t>
      </w:r>
      <w:r>
        <w:rPr>
          <w:rFonts w:hint="eastAsia" w:ascii="宋体" w:hAnsi="宋体" w:eastAsia="宋体" w:cs="宋体"/>
          <w:color w:val="auto"/>
          <w:kern w:val="2"/>
          <w:sz w:val="24"/>
          <w:szCs w:val="24"/>
          <w:highlight w:val="none"/>
        </w:rPr>
        <w:t>日下午</w:t>
      </w:r>
      <w:r>
        <w:rPr>
          <w:rFonts w:ascii="宋体" w:hAnsi="宋体" w:eastAsia="宋体" w:cs="宋体"/>
          <w:color w:val="auto"/>
          <w:kern w:val="2"/>
          <w:sz w:val="24"/>
          <w:szCs w:val="24"/>
          <w:highlight w:val="none"/>
        </w:rPr>
        <w:t>14</w:t>
      </w:r>
      <w:r>
        <w:rPr>
          <w:rFonts w:hint="eastAsia" w:ascii="宋体" w:hAnsi="宋体" w:eastAsia="宋体" w:cs="宋体"/>
          <w:color w:val="auto"/>
          <w:kern w:val="2"/>
          <w:sz w:val="24"/>
          <w:szCs w:val="24"/>
          <w:highlight w:val="none"/>
        </w:rPr>
        <w:t>:</w:t>
      </w:r>
      <w:r>
        <w:rPr>
          <w:rFonts w:ascii="宋体" w:hAnsi="宋体" w:eastAsia="宋体" w:cs="宋体"/>
          <w:color w:val="auto"/>
          <w:kern w:val="2"/>
          <w:sz w:val="24"/>
          <w:szCs w:val="24"/>
          <w:highlight w:val="none"/>
        </w:rPr>
        <w:t>00</w:t>
      </w:r>
      <w:r>
        <w:rPr>
          <w:rFonts w:hint="eastAsia" w:ascii="宋体" w:hAnsi="宋体" w:eastAsia="宋体" w:cs="宋体"/>
          <w:color w:val="auto"/>
          <w:kern w:val="2"/>
          <w:sz w:val="24"/>
          <w:szCs w:val="24"/>
          <w:highlight w:val="none"/>
        </w:rPr>
        <w:t>（北京时间）</w:t>
      </w:r>
    </w:p>
    <w:p>
      <w:pPr>
        <w:spacing w:after="0"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开标地点：南京市鼓楼区清江南路18号鼓楼创新广场D栋11楼开标2室</w:t>
      </w:r>
    </w:p>
    <w:p>
      <w:pPr>
        <w:spacing w:after="0"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投标文件接收要求：投标文件一式五份，其中正本一份、副本四份，在标书封面标注“正本”、“副本”字样，标书密封并在封口处加盖公章。 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逾期送达及未按要求密封的投标文件，采购人不予接收。</w:t>
      </w:r>
    </w:p>
    <w:p>
      <w:p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i/>
          <w:color w:val="auto"/>
          <w:sz w:val="24"/>
          <w:szCs w:val="24"/>
          <w:highlight w:val="none"/>
          <w:u w:val="single"/>
        </w:rPr>
        <w:t>（四）开标一览表必须加</w:t>
      </w:r>
      <w:r>
        <w:rPr>
          <w:rFonts w:hint="eastAsia" w:ascii="宋体" w:hAnsi="宋体" w:eastAsia="宋体" w:cs="宋体"/>
          <w:b/>
          <w:i/>
          <w:iCs/>
          <w:color w:val="auto"/>
          <w:sz w:val="24"/>
          <w:szCs w:val="24"/>
          <w:highlight w:val="none"/>
          <w:u w:val="single"/>
        </w:rPr>
        <w:t>盖投标人公章（复印件无效），必须</w:t>
      </w:r>
      <w:r>
        <w:rPr>
          <w:rFonts w:hint="eastAsia" w:ascii="宋体" w:hAnsi="宋体" w:eastAsia="宋体" w:cs="宋体"/>
          <w:b/>
          <w:i/>
          <w:color w:val="auto"/>
          <w:sz w:val="24"/>
          <w:szCs w:val="24"/>
          <w:highlight w:val="none"/>
          <w:u w:val="single"/>
        </w:rPr>
        <w:t>单独密封在信封中，在投标截止时间前与投标文件分别递交，否则视为无效投标。</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（五）需要现场澄清的问题，投标商代表未到场书面澄清确认的，后果自负。</w:t>
      </w:r>
    </w:p>
    <w:p>
      <w:pPr>
        <w:pStyle w:val="28"/>
        <w:spacing w:after="0" w:line="360" w:lineRule="auto"/>
        <w:ind w:left="0" w:firstLine="482" w:firstLineChars="200"/>
        <w:jc w:val="both"/>
        <w:rPr>
          <w:rFonts w:eastAsia="宋体" w:cs="宋体"/>
          <w:b/>
          <w:bCs/>
          <w:color w:val="auto"/>
          <w:kern w:val="2"/>
          <w:sz w:val="24"/>
          <w:szCs w:val="24"/>
          <w:highlight w:val="none"/>
        </w:rPr>
      </w:pPr>
      <w:r>
        <w:rPr>
          <w:rFonts w:eastAsia="宋体" w:cs="宋体"/>
          <w:b/>
          <w:bCs/>
          <w:color w:val="auto"/>
          <w:kern w:val="2"/>
          <w:sz w:val="24"/>
          <w:szCs w:val="24"/>
          <w:highlight w:val="none"/>
        </w:rPr>
        <w:t>七、投标保证金</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本次招标项目不收取投标保证金。</w:t>
      </w:r>
    </w:p>
    <w:p>
      <w:pPr>
        <w:pStyle w:val="28"/>
        <w:spacing w:after="0" w:line="360" w:lineRule="auto"/>
        <w:ind w:left="0" w:firstLine="482" w:firstLineChars="200"/>
        <w:jc w:val="both"/>
        <w:rPr>
          <w:rFonts w:eastAsia="宋体" w:cs="宋体"/>
          <w:b/>
          <w:bCs/>
          <w:color w:val="auto"/>
          <w:kern w:val="2"/>
          <w:sz w:val="24"/>
          <w:szCs w:val="24"/>
          <w:highlight w:val="none"/>
        </w:rPr>
      </w:pPr>
      <w:r>
        <w:rPr>
          <w:rFonts w:eastAsia="宋体" w:cs="宋体"/>
          <w:b/>
          <w:bCs/>
          <w:color w:val="auto"/>
          <w:kern w:val="2"/>
          <w:sz w:val="24"/>
          <w:szCs w:val="24"/>
          <w:highlight w:val="none"/>
        </w:rPr>
        <w:t>八、投标无效的情形</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（一）投标文件未加盖公章、法人或者授权代表未签字；</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（二）未按照招标文件规定的格式投标；</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（三）投标报价超过项目总预算和分项预算；</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（四）投标文件没有对招标文件的实质性要求和条件作出响应；</w:t>
      </w:r>
    </w:p>
    <w:p>
      <w:pPr>
        <w:pStyle w:val="28"/>
        <w:spacing w:after="0" w:line="360" w:lineRule="auto"/>
        <w:ind w:left="0" w:firstLine="480" w:firstLineChars="200"/>
        <w:jc w:val="both"/>
        <w:rPr>
          <w:rFonts w:hint="default" w:eastAsia="宋体" w:cs="宋体"/>
          <w:color w:val="auto"/>
          <w:kern w:val="2"/>
          <w:sz w:val="24"/>
          <w:szCs w:val="24"/>
          <w:highlight w:val="none"/>
        </w:rPr>
      </w:pPr>
      <w:r>
        <w:rPr>
          <w:rFonts w:eastAsia="宋体" w:cs="宋体"/>
          <w:color w:val="auto"/>
          <w:kern w:val="2"/>
          <w:sz w:val="24"/>
          <w:szCs w:val="24"/>
          <w:highlight w:val="none"/>
        </w:rPr>
        <w:t>（五）投标人有串通投标、弄虚作假、行贿等违法行为。</w:t>
      </w:r>
    </w:p>
    <w:p>
      <w:pPr>
        <w:pStyle w:val="28"/>
        <w:spacing w:after="0" w:line="360" w:lineRule="auto"/>
        <w:ind w:left="0" w:firstLine="482" w:firstLineChars="200"/>
        <w:jc w:val="both"/>
        <w:rPr>
          <w:rFonts w:eastAsia="宋体" w:cs="宋体"/>
          <w:b/>
          <w:bCs/>
          <w:color w:val="auto"/>
          <w:kern w:val="2"/>
          <w:sz w:val="24"/>
          <w:szCs w:val="24"/>
          <w:highlight w:val="none"/>
        </w:rPr>
      </w:pPr>
      <w:r>
        <w:rPr>
          <w:rFonts w:eastAsia="宋体" w:cs="宋体"/>
          <w:b/>
          <w:bCs/>
          <w:color w:val="auto"/>
          <w:kern w:val="2"/>
          <w:sz w:val="24"/>
          <w:szCs w:val="24"/>
          <w:highlight w:val="none"/>
        </w:rPr>
        <w:t>九、其他补充事宜</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1、本项目在</w:t>
      </w:r>
      <w:r>
        <w:rPr>
          <w:rFonts w:eastAsia="宋体" w:cs="宋体"/>
          <w:b/>
          <w:bCs/>
          <w:color w:val="auto"/>
          <w:kern w:val="2"/>
          <w:sz w:val="24"/>
          <w:szCs w:val="24"/>
          <w:highlight w:val="none"/>
        </w:rPr>
        <w:t>南京医科大学网</w:t>
      </w:r>
      <w:r>
        <w:rPr>
          <w:rFonts w:eastAsia="宋体" w:cs="宋体"/>
          <w:color w:val="auto"/>
          <w:kern w:val="2"/>
          <w:sz w:val="24"/>
          <w:szCs w:val="24"/>
          <w:highlight w:val="none"/>
        </w:rPr>
        <w:t>发布公告。</w:t>
      </w:r>
    </w:p>
    <w:p>
      <w:pPr>
        <w:pStyle w:val="28"/>
        <w:spacing w:after="0" w:line="360" w:lineRule="auto"/>
        <w:ind w:left="0" w:firstLine="480" w:firstLineChars="200"/>
        <w:jc w:val="both"/>
        <w:rPr>
          <w:rFonts w:hint="default" w:eastAsia="宋体" w:cs="宋体"/>
          <w:color w:val="auto"/>
          <w:kern w:val="2"/>
          <w:sz w:val="24"/>
          <w:szCs w:val="24"/>
          <w:highlight w:val="none"/>
        </w:rPr>
      </w:pPr>
      <w:r>
        <w:rPr>
          <w:rFonts w:hint="default" w:eastAsia="宋体" w:cs="宋体"/>
          <w:color w:val="auto"/>
          <w:kern w:val="2"/>
          <w:sz w:val="24"/>
          <w:szCs w:val="24"/>
          <w:highlight w:val="none"/>
        </w:rPr>
        <w:t>2</w:t>
      </w:r>
      <w:r>
        <w:rPr>
          <w:rFonts w:eastAsia="宋体" w:cs="宋体"/>
          <w:color w:val="auto"/>
          <w:kern w:val="2"/>
          <w:sz w:val="24"/>
          <w:szCs w:val="24"/>
          <w:highlight w:val="none"/>
        </w:rPr>
        <w:t>、投标人应当从南京医科大学处合法获得招标项目的招标文件。</w:t>
      </w:r>
    </w:p>
    <w:p>
      <w:pPr>
        <w:pStyle w:val="19"/>
        <w:spacing w:after="0" w:line="360" w:lineRule="auto"/>
        <w:ind w:right="-58" w:firstLineChars="0"/>
        <w:rPr>
          <w:rFonts w:hint="eastAsia" w:cs="宋体"/>
          <w:color w:val="auto"/>
          <w:sz w:val="24"/>
          <w:szCs w:val="24"/>
          <w:highlight w:val="none"/>
        </w:rPr>
      </w:pPr>
      <w:r>
        <w:rPr>
          <w:rFonts w:hint="eastAsia" w:ascii="宋体" w:hAnsi="宋体" w:cs="宋体"/>
          <w:color w:val="auto"/>
          <w:sz w:val="24"/>
          <w:szCs w:val="24"/>
          <w:highlight w:val="none"/>
        </w:rPr>
        <w:t>有关本次招标的事项若存在变动或修改，敬请及时关注网页发布的信息更正公告。</w:t>
      </w:r>
    </w:p>
    <w:p>
      <w:pPr>
        <w:pStyle w:val="28"/>
        <w:spacing w:after="0" w:line="360" w:lineRule="auto"/>
        <w:ind w:left="0" w:firstLine="480" w:firstLineChars="200"/>
        <w:jc w:val="both"/>
        <w:rPr>
          <w:rFonts w:hint="default" w:eastAsia="宋体" w:cs="宋体"/>
          <w:color w:val="auto"/>
          <w:kern w:val="2"/>
          <w:sz w:val="24"/>
          <w:szCs w:val="24"/>
          <w:highlight w:val="none"/>
        </w:rPr>
      </w:pPr>
      <w:r>
        <w:rPr>
          <w:rFonts w:hint="default" w:eastAsia="宋体" w:cs="宋体"/>
          <w:color w:val="auto"/>
          <w:kern w:val="2"/>
          <w:sz w:val="24"/>
          <w:szCs w:val="24"/>
          <w:highlight w:val="none"/>
        </w:rPr>
        <w:t>3</w:t>
      </w:r>
      <w:r>
        <w:rPr>
          <w:rFonts w:eastAsia="宋体" w:cs="宋体"/>
          <w:color w:val="auto"/>
          <w:kern w:val="2"/>
          <w:sz w:val="24"/>
          <w:szCs w:val="24"/>
          <w:highlight w:val="none"/>
        </w:rPr>
        <w:t>、勘察现场或答疑：无。</w:t>
      </w:r>
    </w:p>
    <w:p>
      <w:pPr>
        <w:pStyle w:val="28"/>
        <w:spacing w:after="0" w:line="360" w:lineRule="auto"/>
        <w:ind w:left="0" w:firstLine="482" w:firstLineChars="200"/>
        <w:jc w:val="both"/>
        <w:rPr>
          <w:rFonts w:eastAsia="宋体" w:cs="宋体"/>
          <w:b/>
          <w:bCs/>
          <w:color w:val="auto"/>
          <w:kern w:val="2"/>
          <w:sz w:val="24"/>
          <w:szCs w:val="24"/>
          <w:highlight w:val="none"/>
        </w:rPr>
      </w:pPr>
      <w:r>
        <w:rPr>
          <w:rFonts w:eastAsia="宋体" w:cs="宋体"/>
          <w:b/>
          <w:bCs/>
          <w:color w:val="auto"/>
          <w:kern w:val="2"/>
          <w:sz w:val="24"/>
          <w:szCs w:val="24"/>
          <w:highlight w:val="none"/>
        </w:rPr>
        <w:t>十、本次招标联系事项</w:t>
      </w:r>
    </w:p>
    <w:p>
      <w:pPr>
        <w:pStyle w:val="28"/>
        <w:spacing w:after="0" w:line="360" w:lineRule="auto"/>
        <w:ind w:left="0" w:firstLine="480" w:firstLineChars="200"/>
        <w:jc w:val="both"/>
        <w:rPr>
          <w:rFonts w:eastAsia="宋体" w:cs="宋体"/>
          <w:color w:val="auto"/>
          <w:kern w:val="2"/>
          <w:sz w:val="24"/>
          <w:szCs w:val="24"/>
          <w:highlight w:val="none"/>
        </w:rPr>
      </w:pPr>
      <w:r>
        <w:rPr>
          <w:rFonts w:eastAsia="宋体" w:cs="宋体"/>
          <w:color w:val="auto"/>
          <w:kern w:val="2"/>
          <w:sz w:val="24"/>
          <w:szCs w:val="24"/>
          <w:highlight w:val="none"/>
        </w:rPr>
        <w:t xml:space="preserve">采购人联系人：吕老师        电话：025-86868572 </w:t>
      </w:r>
    </w:p>
    <w:p>
      <w:pPr>
        <w:pStyle w:val="28"/>
        <w:spacing w:after="0" w:line="360" w:lineRule="auto"/>
        <w:ind w:left="0" w:firstLine="480" w:firstLineChars="200"/>
        <w:jc w:val="both"/>
        <w:rPr>
          <w:rFonts w:hint="default" w:eastAsia="宋体" w:cs="宋体"/>
          <w:color w:val="auto"/>
          <w:kern w:val="2"/>
          <w:sz w:val="24"/>
          <w:szCs w:val="24"/>
          <w:highlight w:val="none"/>
        </w:rPr>
      </w:pPr>
      <w:r>
        <w:rPr>
          <w:rFonts w:eastAsia="宋体" w:cs="宋体"/>
          <w:color w:val="auto"/>
          <w:kern w:val="2"/>
          <w:sz w:val="24"/>
          <w:szCs w:val="24"/>
          <w:highlight w:val="none"/>
        </w:rPr>
        <w:t>地址：南京市江宁区龙眠大道101号</w:t>
      </w:r>
    </w:p>
    <w:p>
      <w:pPr>
        <w:pStyle w:val="28"/>
        <w:spacing w:after="0" w:line="360" w:lineRule="auto"/>
        <w:ind w:left="0" w:firstLine="480" w:firstLineChars="200"/>
        <w:jc w:val="both"/>
        <w:rPr>
          <w:rFonts w:eastAsia="宋体" w:cs="宋体"/>
          <w:color w:val="auto"/>
          <w:kern w:val="2"/>
          <w:sz w:val="24"/>
          <w:szCs w:val="24"/>
          <w:highlight w:val="none"/>
        </w:rPr>
      </w:pPr>
    </w:p>
    <w:bookmarkEnd w:id="0"/>
    <w:p>
      <w:pPr>
        <w:pStyle w:val="3"/>
        <w:pageBreakBefore/>
        <w:widowControl/>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第二章</w:t>
      </w:r>
      <w:bookmarkStart w:id="12" w:name="_Toc20823274"/>
      <w:bookmarkStart w:id="13" w:name="_Toc513029202"/>
      <w:bookmarkStart w:id="14" w:name="_Toc16938518"/>
      <w:bookmarkStart w:id="15" w:name="_Toc120614213"/>
      <w:r>
        <w:rPr>
          <w:rFonts w:hint="eastAsia" w:ascii="宋体" w:hAnsi="宋体" w:eastAsia="宋体" w:cs="宋体"/>
          <w:b/>
          <w:color w:val="auto"/>
          <w:sz w:val="44"/>
          <w:highlight w:val="none"/>
        </w:rPr>
        <w:t>投标人须知</w:t>
      </w:r>
      <w:bookmarkEnd w:id="12"/>
      <w:bookmarkEnd w:id="13"/>
      <w:bookmarkEnd w:id="14"/>
      <w:bookmarkEnd w:id="15"/>
    </w:p>
    <w:p>
      <w:pPr>
        <w:pStyle w:val="25"/>
        <w:widowControl/>
        <w:spacing w:before="0" w:after="0"/>
        <w:rPr>
          <w:rFonts w:ascii="宋体" w:hAnsi="宋体" w:cs="宋体"/>
          <w:b/>
          <w:color w:val="auto"/>
          <w:highlight w:val="none"/>
        </w:rPr>
      </w:pPr>
      <w:bookmarkStart w:id="16" w:name="_Toc513029203"/>
      <w:bookmarkStart w:id="17" w:name="_Toc16938519"/>
      <w:bookmarkStart w:id="18" w:name="_Toc20823275"/>
      <w:bookmarkStart w:id="19" w:name="_Toc120614214"/>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一、总则</w:t>
      </w:r>
      <w:bookmarkEnd w:id="16"/>
      <w:bookmarkEnd w:id="17"/>
      <w:bookmarkEnd w:id="18"/>
      <w:bookmarkEnd w:id="19"/>
    </w:p>
    <w:p>
      <w:pPr>
        <w:pStyle w:val="25"/>
        <w:widowControl/>
        <w:spacing w:before="0" w:after="0"/>
        <w:rPr>
          <w:rFonts w:hint="eastAsia" w:ascii="宋体" w:hAnsi="宋体" w:cs="宋体"/>
          <w:b/>
          <w:color w:val="auto"/>
          <w:highlight w:val="none"/>
        </w:rPr>
      </w:pPr>
      <w:bookmarkStart w:id="20" w:name="_Hlt16619475"/>
      <w:bookmarkEnd w:id="20"/>
      <w:bookmarkStart w:id="21" w:name="_Toc458694821"/>
      <w:bookmarkStart w:id="22" w:name="_Toc16938520"/>
      <w:bookmarkStart w:id="23" w:name="_Toc513029204"/>
      <w:bookmarkStart w:id="24" w:name="_Toc20823276"/>
      <w:r>
        <w:rPr>
          <w:rFonts w:hint="eastAsia" w:ascii="宋体" w:hAnsi="宋体" w:cs="宋体"/>
          <w:b/>
          <w:color w:val="auto"/>
          <w:highlight w:val="none"/>
        </w:rPr>
        <w:t>1</w:t>
      </w:r>
      <w:bookmarkEnd w:id="21"/>
      <w:r>
        <w:rPr>
          <w:rFonts w:hint="eastAsia" w:ascii="宋体" w:hAnsi="宋体" w:cs="宋体"/>
          <w:b/>
          <w:color w:val="auto"/>
          <w:highlight w:val="none"/>
        </w:rPr>
        <w:t>、招标方式</w:t>
      </w:r>
      <w:bookmarkEnd w:id="22"/>
      <w:bookmarkEnd w:id="23"/>
      <w:bookmarkEnd w:id="24"/>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1.1 本次招标采取公开招标方式，本招标文件仅适用于招标公告中所述项目。</w:t>
      </w:r>
    </w:p>
    <w:p>
      <w:pPr>
        <w:pStyle w:val="25"/>
        <w:widowControl/>
        <w:spacing w:before="0" w:after="0"/>
        <w:rPr>
          <w:rFonts w:hint="eastAsia" w:ascii="宋体" w:hAnsi="宋体" w:cs="宋体"/>
          <w:b/>
          <w:color w:val="auto"/>
          <w:highlight w:val="none"/>
        </w:rPr>
      </w:pPr>
      <w:bookmarkStart w:id="25" w:name="_Toc16938521"/>
      <w:bookmarkStart w:id="26" w:name="_Toc513029205"/>
      <w:bookmarkStart w:id="27" w:name="_Toc20823277"/>
      <w:r>
        <w:rPr>
          <w:rFonts w:hint="eastAsia" w:ascii="宋体" w:hAnsi="宋体" w:cs="宋体"/>
          <w:b/>
          <w:color w:val="auto"/>
          <w:highlight w:val="none"/>
        </w:rPr>
        <w:t>2、合格的投标人</w:t>
      </w:r>
      <w:bookmarkEnd w:id="25"/>
      <w:bookmarkEnd w:id="26"/>
      <w:bookmarkEnd w:id="27"/>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2.1满足招标公告中招标人资格要求的规定。</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2.2 满足本文件实质性条款的规定。</w:t>
      </w:r>
    </w:p>
    <w:p>
      <w:pPr>
        <w:pStyle w:val="25"/>
        <w:widowControl/>
        <w:spacing w:before="0" w:after="0"/>
        <w:rPr>
          <w:rFonts w:hint="eastAsia" w:ascii="宋体" w:hAnsi="宋体" w:cs="宋体"/>
          <w:b/>
          <w:color w:val="auto"/>
          <w:highlight w:val="none"/>
        </w:rPr>
      </w:pPr>
      <w:bookmarkStart w:id="28" w:name="_Toc513029206"/>
      <w:bookmarkStart w:id="29" w:name="_Toc20823278"/>
      <w:bookmarkStart w:id="30" w:name="_Toc16938522"/>
      <w:r>
        <w:rPr>
          <w:rFonts w:hint="eastAsia" w:ascii="宋体" w:hAnsi="宋体" w:cs="宋体"/>
          <w:b/>
          <w:color w:val="auto"/>
          <w:highlight w:val="none"/>
        </w:rPr>
        <w:t>3、适用法律</w:t>
      </w:r>
      <w:bookmarkEnd w:id="28"/>
      <w:bookmarkEnd w:id="29"/>
      <w:bookmarkEnd w:id="30"/>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本次招标及由此产生的合同受中华人民共和国有关的法律法规制约和保护。</w:t>
      </w:r>
    </w:p>
    <w:p>
      <w:pPr>
        <w:pStyle w:val="25"/>
        <w:widowControl/>
        <w:spacing w:before="0" w:after="0"/>
        <w:rPr>
          <w:rFonts w:hint="eastAsia" w:ascii="宋体" w:hAnsi="宋体" w:cs="宋体"/>
          <w:b/>
          <w:color w:val="auto"/>
          <w:highlight w:val="none"/>
        </w:rPr>
      </w:pPr>
      <w:bookmarkStart w:id="31" w:name="_Toc513029207"/>
      <w:bookmarkStart w:id="32" w:name="_Toc462564067"/>
      <w:bookmarkStart w:id="33" w:name="_Toc20823279"/>
      <w:bookmarkStart w:id="34" w:name="_Toc16938523"/>
      <w:r>
        <w:rPr>
          <w:rFonts w:hint="eastAsia" w:ascii="宋体" w:hAnsi="宋体" w:cs="宋体"/>
          <w:b/>
          <w:color w:val="auto"/>
          <w:highlight w:val="none"/>
        </w:rPr>
        <w:t>4、投标费用</w:t>
      </w:r>
      <w:bookmarkEnd w:id="31"/>
      <w:bookmarkEnd w:id="32"/>
      <w:bookmarkEnd w:id="33"/>
      <w:bookmarkEnd w:id="34"/>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投标人应自行承担所有与参加投标有关的费用。</w:t>
      </w:r>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5、</w:t>
      </w:r>
      <w:r>
        <w:rPr>
          <w:rFonts w:hint="eastAsia" w:ascii="宋体" w:hAnsi="宋体" w:cs="宋体"/>
          <w:b/>
          <w:bCs/>
          <w:color w:val="auto"/>
          <w:highlight w:val="none"/>
        </w:rPr>
        <w:t>招标文件的约束力</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投标人一旦参加本项目采购活动，即被认为接受了本招标文件的规定和约束。</w:t>
      </w:r>
    </w:p>
    <w:p>
      <w:pPr>
        <w:pStyle w:val="25"/>
        <w:widowControl/>
        <w:spacing w:before="0" w:after="0"/>
        <w:rPr>
          <w:rFonts w:hint="eastAsia" w:ascii="宋体" w:hAnsi="宋体" w:cs="宋体"/>
          <w:b/>
          <w:color w:val="auto"/>
          <w:highlight w:val="none"/>
        </w:rPr>
      </w:pPr>
      <w:bookmarkStart w:id="35" w:name="_Toc517190883"/>
      <w:bookmarkStart w:id="36" w:name="_Toc120614215"/>
      <w:bookmarkStart w:id="37" w:name="_Toc16938525"/>
      <w:bookmarkStart w:id="38" w:name="_Toc20823281"/>
      <w:bookmarkStart w:id="39" w:name="_Toc513029209"/>
      <w:r>
        <w:rPr>
          <w:rFonts w:hint="eastAsia" w:ascii="宋体" w:hAnsi="宋体" w:cs="宋体"/>
          <w:b/>
          <w:color w:val="auto"/>
          <w:highlight w:val="none"/>
        </w:rPr>
        <w:t>二、招标文件</w:t>
      </w:r>
      <w:bookmarkEnd w:id="35"/>
      <w:bookmarkEnd w:id="36"/>
      <w:bookmarkEnd w:id="37"/>
      <w:bookmarkEnd w:id="38"/>
      <w:bookmarkEnd w:id="39"/>
    </w:p>
    <w:p>
      <w:pPr>
        <w:pStyle w:val="25"/>
        <w:widowControl/>
        <w:spacing w:before="0" w:after="0"/>
        <w:rPr>
          <w:rFonts w:hint="eastAsia" w:ascii="宋体" w:hAnsi="宋体" w:cs="宋体"/>
          <w:b/>
          <w:color w:val="auto"/>
          <w:highlight w:val="none"/>
        </w:rPr>
      </w:pPr>
      <w:bookmarkStart w:id="40" w:name="_Toc20823282"/>
      <w:bookmarkStart w:id="41" w:name="_Toc513029210"/>
      <w:bookmarkStart w:id="42" w:name="_Toc16938526"/>
      <w:r>
        <w:rPr>
          <w:rFonts w:hint="eastAsia" w:ascii="宋体" w:hAnsi="宋体" w:cs="宋体"/>
          <w:b/>
          <w:color w:val="auto"/>
          <w:highlight w:val="none"/>
        </w:rPr>
        <w:t>6、招标文件构成</w:t>
      </w:r>
      <w:bookmarkEnd w:id="40"/>
      <w:bookmarkEnd w:id="41"/>
      <w:bookmarkEnd w:id="42"/>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6.1</w:t>
      </w:r>
      <w:r>
        <w:rPr>
          <w:rFonts w:hint="eastAsia" w:ascii="宋体" w:hAnsi="宋体" w:cs="宋体"/>
          <w:color w:val="auto"/>
          <w:highlight w:val="none"/>
        </w:rPr>
        <w:t>招标文件由以下部分组成：</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（1）招标公告</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（2）投标人须知</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（3）项目需求</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（4）评标方法与评标标准</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（5）投标文件格式</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请仔细检查招标文件是否齐全，如有缺漏请立即与采购人联系解决。</w:t>
      </w:r>
    </w:p>
    <w:p>
      <w:pPr>
        <w:pStyle w:val="25"/>
        <w:widowControl/>
        <w:spacing w:before="0" w:after="0"/>
        <w:jc w:val="both"/>
        <w:rPr>
          <w:rFonts w:hint="eastAsia" w:ascii="宋体" w:hAnsi="宋体" w:cs="宋体"/>
          <w:color w:val="auto"/>
          <w:highlight w:val="none"/>
        </w:rPr>
      </w:pPr>
      <w:r>
        <w:rPr>
          <w:rFonts w:hint="eastAsia" w:ascii="宋体" w:hAnsi="宋体" w:cs="宋体"/>
          <w:bCs/>
          <w:color w:val="auto"/>
          <w:highlight w:val="none"/>
        </w:rPr>
        <w:t>6.2</w:t>
      </w:r>
      <w:r>
        <w:rPr>
          <w:rFonts w:hint="eastAsia" w:ascii="宋体" w:hAnsi="宋体" w:cs="宋体"/>
          <w:color w:val="auto"/>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5"/>
        <w:widowControl/>
        <w:spacing w:before="0" w:after="0"/>
        <w:rPr>
          <w:rFonts w:hint="eastAsia" w:ascii="宋体" w:hAnsi="宋体" w:cs="宋体"/>
          <w:b/>
          <w:color w:val="auto"/>
          <w:highlight w:val="none"/>
        </w:rPr>
      </w:pPr>
      <w:bookmarkStart w:id="43" w:name="_Toc20823283"/>
      <w:bookmarkStart w:id="44" w:name="_Toc513029211"/>
      <w:bookmarkStart w:id="45" w:name="_Toc16938527"/>
      <w:bookmarkStart w:id="46" w:name="_Toc462564070"/>
      <w:r>
        <w:rPr>
          <w:rFonts w:hint="eastAsia" w:ascii="宋体" w:hAnsi="宋体" w:cs="宋体"/>
          <w:b/>
          <w:color w:val="auto"/>
          <w:highlight w:val="none"/>
        </w:rPr>
        <w:t>7、招标文件的澄清</w:t>
      </w:r>
      <w:bookmarkEnd w:id="43"/>
      <w:bookmarkEnd w:id="44"/>
      <w:bookmarkEnd w:id="45"/>
      <w:bookmarkEnd w:id="46"/>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任何要求对招标文件进行澄清的投标人，应在投标截止期</w:t>
      </w:r>
      <w:r>
        <w:rPr>
          <w:rFonts w:hint="eastAsia" w:ascii="宋体" w:hAnsi="宋体" w:cs="宋体"/>
          <w:b/>
          <w:color w:val="auto"/>
          <w:highlight w:val="none"/>
        </w:rPr>
        <w:t>十五日</w:t>
      </w:r>
      <w:r>
        <w:rPr>
          <w:rFonts w:hint="eastAsia" w:ascii="宋体" w:hAnsi="宋体" w:cs="宋体"/>
          <w:color w:val="auto"/>
          <w:highlight w:val="none"/>
        </w:rPr>
        <w:t>前按招标公告中的通讯地址，以书面形式通知采购人。</w:t>
      </w:r>
    </w:p>
    <w:p>
      <w:pPr>
        <w:pStyle w:val="25"/>
        <w:widowControl/>
        <w:spacing w:before="0" w:after="0"/>
        <w:rPr>
          <w:rFonts w:hint="eastAsia" w:ascii="宋体" w:hAnsi="宋体" w:cs="宋体"/>
          <w:b/>
          <w:color w:val="auto"/>
          <w:highlight w:val="none"/>
        </w:rPr>
      </w:pPr>
      <w:bookmarkStart w:id="47" w:name="_Toc20823284"/>
      <w:bookmarkStart w:id="48" w:name="_Toc16938528"/>
      <w:bookmarkStart w:id="49" w:name="_Toc513029212"/>
      <w:bookmarkStart w:id="50" w:name="_Toc462564071"/>
      <w:r>
        <w:rPr>
          <w:rFonts w:hint="eastAsia" w:ascii="宋体" w:hAnsi="宋体" w:cs="宋体"/>
          <w:b/>
          <w:color w:val="auto"/>
          <w:highlight w:val="none"/>
        </w:rPr>
        <w:t>8、招标文件的修改</w:t>
      </w:r>
      <w:bookmarkEnd w:id="47"/>
      <w:bookmarkEnd w:id="48"/>
      <w:bookmarkEnd w:id="49"/>
      <w:bookmarkEnd w:id="50"/>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8.1</w:t>
      </w:r>
      <w:r>
        <w:rPr>
          <w:rFonts w:hint="eastAsia" w:ascii="宋体" w:hAnsi="宋体" w:cs="宋体"/>
          <w:color w:val="auto"/>
          <w:highlight w:val="none"/>
        </w:rPr>
        <w:t>在投标截止时间前，采购人可以对招标文件进行修改。</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 xml:space="preserve">8.2 </w:t>
      </w:r>
      <w:r>
        <w:rPr>
          <w:rFonts w:hint="eastAsia" w:ascii="宋体" w:hAnsi="宋体" w:cs="宋体"/>
          <w:color w:val="auto"/>
          <w:highlight w:val="none"/>
        </w:rPr>
        <w:t>采购人有权按照法定的要求推迟投标截止日期和开标日期。</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 xml:space="preserve">8.3 </w:t>
      </w:r>
      <w:r>
        <w:rPr>
          <w:rFonts w:hint="eastAsia" w:ascii="宋体" w:hAnsi="宋体" w:cs="宋体"/>
          <w:color w:val="auto"/>
          <w:highlight w:val="none"/>
        </w:rPr>
        <w:t>招标文件的修改将在南京医科大学校园网公布，补充文件将作为招标文件的组成部分，并对投标人具有约束力。</w:t>
      </w:r>
    </w:p>
    <w:p>
      <w:pPr>
        <w:pStyle w:val="25"/>
        <w:widowControl/>
        <w:spacing w:before="0" w:after="0"/>
        <w:rPr>
          <w:rFonts w:hint="eastAsia" w:ascii="宋体" w:hAnsi="宋体" w:cs="宋体"/>
          <w:b/>
          <w:color w:val="auto"/>
          <w:highlight w:val="none"/>
        </w:rPr>
      </w:pPr>
      <w:bookmarkStart w:id="51" w:name="_Toc16938529"/>
      <w:bookmarkStart w:id="52" w:name="_Toc462564072"/>
      <w:bookmarkStart w:id="53" w:name="_Toc517190884"/>
      <w:bookmarkStart w:id="54" w:name="_Toc513029213"/>
      <w:bookmarkStart w:id="55" w:name="_Toc120614216"/>
      <w:bookmarkStart w:id="56" w:name="_Toc20823285"/>
      <w:r>
        <w:rPr>
          <w:rFonts w:hint="eastAsia" w:ascii="宋体" w:hAnsi="宋体" w:cs="宋体"/>
          <w:b/>
          <w:color w:val="auto"/>
          <w:highlight w:val="none"/>
        </w:rPr>
        <w:t>三、投标文件的编制</w:t>
      </w:r>
      <w:bookmarkEnd w:id="51"/>
      <w:bookmarkEnd w:id="52"/>
      <w:bookmarkEnd w:id="53"/>
      <w:bookmarkEnd w:id="54"/>
      <w:bookmarkEnd w:id="55"/>
      <w:bookmarkEnd w:id="56"/>
    </w:p>
    <w:p>
      <w:pPr>
        <w:pStyle w:val="25"/>
        <w:widowControl/>
        <w:spacing w:before="0" w:after="0"/>
        <w:rPr>
          <w:rFonts w:hint="eastAsia" w:ascii="宋体" w:hAnsi="宋体" w:cs="宋体"/>
          <w:bCs/>
          <w:color w:val="auto"/>
          <w:highlight w:val="none"/>
        </w:rPr>
      </w:pPr>
      <w:bookmarkStart w:id="57" w:name="_Toc16938530"/>
      <w:bookmarkStart w:id="58" w:name="_Toc513029214"/>
      <w:bookmarkStart w:id="59" w:name="_Toc462564073"/>
      <w:bookmarkStart w:id="60" w:name="_Toc20823286"/>
      <w:r>
        <w:rPr>
          <w:rFonts w:hint="eastAsia" w:ascii="宋体" w:hAnsi="宋体" w:cs="宋体"/>
          <w:b/>
          <w:color w:val="auto"/>
          <w:highlight w:val="none"/>
        </w:rPr>
        <w:t>9、投标文件的语言及度量衡单位</w:t>
      </w:r>
      <w:bookmarkEnd w:id="57"/>
      <w:bookmarkEnd w:id="58"/>
      <w:bookmarkEnd w:id="59"/>
      <w:bookmarkEnd w:id="60"/>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9.1</w:t>
      </w:r>
      <w:r>
        <w:rPr>
          <w:rFonts w:hint="eastAsia" w:ascii="宋体" w:hAnsi="宋体" w:cs="宋体"/>
          <w:color w:val="auto"/>
          <w:highlight w:val="none"/>
        </w:rPr>
        <w:t>投标人提交的投标文件以及投标人与采购人就有关投标的所有来往通知、函件和文件均应使用</w:t>
      </w:r>
      <w:r>
        <w:rPr>
          <w:rFonts w:hint="eastAsia" w:ascii="宋体" w:hAnsi="宋体" w:cs="宋体"/>
          <w:b/>
          <w:color w:val="auto"/>
          <w:highlight w:val="none"/>
        </w:rPr>
        <w:t>简体中文</w:t>
      </w:r>
      <w:r>
        <w:rPr>
          <w:rFonts w:hint="eastAsia" w:ascii="宋体" w:hAnsi="宋体" w:cs="宋体"/>
          <w:color w:val="auto"/>
          <w:highlight w:val="none"/>
        </w:rPr>
        <w:t>。</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9.2</w:t>
      </w:r>
      <w:r>
        <w:rPr>
          <w:rFonts w:hint="eastAsia" w:ascii="宋体" w:hAnsi="宋体" w:cs="宋体"/>
          <w:color w:val="auto"/>
          <w:highlight w:val="none"/>
        </w:rPr>
        <w:t>除技术性能另有规定外，投标文件所使用的度量衡单位，均须采用国家法定计量单位。</w:t>
      </w:r>
    </w:p>
    <w:p>
      <w:pPr>
        <w:pStyle w:val="25"/>
        <w:widowControl/>
        <w:spacing w:before="0" w:after="0"/>
        <w:rPr>
          <w:rFonts w:hint="eastAsia" w:ascii="宋体" w:hAnsi="宋体" w:cs="宋体"/>
          <w:b/>
          <w:color w:val="auto"/>
          <w:highlight w:val="none"/>
        </w:rPr>
      </w:pPr>
      <w:bookmarkStart w:id="61" w:name="_Toc20823287"/>
      <w:bookmarkStart w:id="62" w:name="_Toc16938531"/>
      <w:bookmarkStart w:id="63" w:name="_Toc513029215"/>
      <w:bookmarkStart w:id="64" w:name="_Toc462564074"/>
      <w:r>
        <w:rPr>
          <w:rFonts w:hint="eastAsia" w:ascii="宋体" w:hAnsi="宋体" w:cs="宋体"/>
          <w:b/>
          <w:color w:val="auto"/>
          <w:highlight w:val="none"/>
        </w:rPr>
        <w:t>10、投标文件构成</w:t>
      </w:r>
      <w:bookmarkEnd w:id="61"/>
      <w:bookmarkEnd w:id="62"/>
      <w:bookmarkEnd w:id="63"/>
      <w:bookmarkEnd w:id="64"/>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10.1</w:t>
      </w:r>
      <w:r>
        <w:rPr>
          <w:rFonts w:hint="eastAsia" w:ascii="宋体" w:hAnsi="宋体" w:cs="宋体"/>
          <w:color w:val="auto"/>
          <w:highlight w:val="none"/>
        </w:rPr>
        <w:t>投标人编写的投标文件应包括投标函、开标一览表、资信证明文件、投标配置与分项报价表、技术参数响应及偏离表、技术及售后服务承诺书等部分。</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10.2投标人应将投标文件按顺序装订成册，并编制投标文件资料目录。</w:t>
      </w:r>
    </w:p>
    <w:p>
      <w:pPr>
        <w:pStyle w:val="25"/>
        <w:widowControl/>
        <w:spacing w:before="0" w:after="0"/>
        <w:rPr>
          <w:rFonts w:hint="eastAsia" w:ascii="宋体" w:hAnsi="宋体" w:cs="宋体"/>
          <w:b/>
          <w:color w:val="auto"/>
          <w:highlight w:val="none"/>
        </w:rPr>
      </w:pPr>
      <w:bookmarkStart w:id="65" w:name="_Hlt26670360"/>
      <w:bookmarkEnd w:id="65"/>
      <w:bookmarkStart w:id="66" w:name="_Hlt26668975"/>
      <w:bookmarkEnd w:id="66"/>
      <w:bookmarkStart w:id="67" w:name="_Hlt26954838"/>
      <w:bookmarkEnd w:id="67"/>
      <w:bookmarkStart w:id="68" w:name="_Toc14577357"/>
      <w:bookmarkStart w:id="69" w:name="_Toc49090509"/>
      <w:bookmarkStart w:id="70" w:name="_Toc513029219"/>
      <w:bookmarkStart w:id="71" w:name="_Toc14577354"/>
      <w:bookmarkStart w:id="72" w:name="_Toc49090507"/>
      <w:bookmarkStart w:id="73" w:name="_Toc513029216"/>
      <w:r>
        <w:rPr>
          <w:rFonts w:hint="eastAsia" w:ascii="宋体" w:hAnsi="宋体" w:cs="宋体"/>
          <w:b/>
          <w:color w:val="auto"/>
          <w:highlight w:val="none"/>
        </w:rPr>
        <w:t>11、证明投标人资格及符合招标文件规定的文件</w:t>
      </w:r>
      <w:bookmarkEnd w:id="68"/>
      <w:bookmarkEnd w:id="69"/>
      <w:bookmarkEnd w:id="70"/>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11.1</w:t>
      </w:r>
      <w:bookmarkStart w:id="74" w:name="_Hlt26668999"/>
      <w:bookmarkEnd w:id="74"/>
      <w:r>
        <w:rPr>
          <w:rFonts w:hint="eastAsia" w:ascii="宋体" w:hAnsi="宋体" w:cs="宋体"/>
          <w:color w:val="auto"/>
          <w:highlight w:val="none"/>
        </w:rPr>
        <w:t>投标人应按要求提交资格证明文件及符合招标文件规定的文件。</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11.2投标人应具有资格参加投标和中标后有能力独立履行合同的能力。</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11.3投标人除必须具有履行合同所需提供的货物以及服务的能力外，还必须具备相应的财务、技术方面的能力。</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11.4投标人应提交根据采购项目要求提供的证明产品质量合格以及符合招标文件规定的证明文件。</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11.5证明投标人所提供货物与招标文件的要求相一致的文件可以是样品、手册、图纸、文字资料和数据</w:t>
      </w:r>
      <w:r>
        <w:rPr>
          <w:rFonts w:hint="eastAsia" w:ascii="宋体" w:hAnsi="宋体" w:cs="宋体"/>
          <w:bCs/>
          <w:color w:val="auto"/>
          <w:highlight w:val="none"/>
        </w:rPr>
        <w:t>。</w:t>
      </w:r>
    </w:p>
    <w:bookmarkEnd w:id="71"/>
    <w:bookmarkEnd w:id="72"/>
    <w:bookmarkEnd w:id="73"/>
    <w:p>
      <w:pPr>
        <w:pStyle w:val="25"/>
        <w:widowControl/>
        <w:spacing w:before="0" w:after="0"/>
        <w:rPr>
          <w:rFonts w:hint="eastAsia" w:ascii="宋体" w:hAnsi="宋体" w:cs="宋体"/>
          <w:b/>
          <w:color w:val="auto"/>
          <w:highlight w:val="none"/>
        </w:rPr>
      </w:pPr>
      <w:bookmarkStart w:id="75" w:name="_Toc14577355"/>
      <w:bookmarkStart w:id="76" w:name="_Toc49090508"/>
      <w:r>
        <w:rPr>
          <w:rFonts w:hint="eastAsia" w:ascii="宋体" w:hAnsi="宋体" w:cs="宋体"/>
          <w:b/>
          <w:color w:val="auto"/>
          <w:highlight w:val="none"/>
        </w:rPr>
        <w:t>12、供货一览表与分项报价</w:t>
      </w:r>
      <w:bookmarkEnd w:id="75"/>
      <w:bookmarkStart w:id="77" w:name="_Hlt26670373"/>
      <w:bookmarkEnd w:id="77"/>
      <w:r>
        <w:rPr>
          <w:rFonts w:hint="eastAsia" w:ascii="宋体" w:hAnsi="宋体" w:cs="宋体"/>
          <w:b/>
          <w:color w:val="auto"/>
          <w:highlight w:val="none"/>
        </w:rPr>
        <w:t>表</w:t>
      </w:r>
      <w:bookmarkEnd w:id="76"/>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投</w:t>
      </w:r>
      <w:bookmarkStart w:id="78" w:name="_Hlt26954840"/>
      <w:bookmarkEnd w:id="78"/>
      <w:r>
        <w:rPr>
          <w:rFonts w:hint="eastAsia" w:ascii="宋体" w:hAnsi="宋体" w:cs="宋体"/>
          <w:color w:val="auto"/>
          <w:highlight w:val="none"/>
        </w:rPr>
        <w:t>标人应按照招标文件规定格式填报供货一览表与分项报价表</w:t>
      </w:r>
      <w:bookmarkStart w:id="79" w:name="_Hlt26670399"/>
      <w:bookmarkEnd w:id="79"/>
      <w:r>
        <w:rPr>
          <w:rFonts w:hint="eastAsia" w:ascii="宋体" w:hAnsi="宋体" w:cs="宋体"/>
          <w:color w:val="auto"/>
          <w:highlight w:val="none"/>
        </w:rPr>
        <w:t>。每项货物和服务等只允许有一个报价，任何有选择的报价将不予接受(如有备选配件，备选配件的报价不属于选择的报价)。</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12.3</w:t>
      </w:r>
      <w:r>
        <w:rPr>
          <w:rFonts w:hint="eastAsia" w:ascii="宋体" w:hAnsi="宋体" w:cs="宋体"/>
          <w:bCs/>
          <w:color w:val="auto"/>
          <w:highlight w:val="none"/>
        </w:rPr>
        <w:t>有关费用处理</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招标报价采用总承包方式（</w:t>
      </w:r>
      <w:r>
        <w:rPr>
          <w:rFonts w:hint="eastAsia" w:ascii="宋体" w:hAnsi="宋体" w:cs="宋体"/>
          <w:b/>
          <w:color w:val="auto"/>
          <w:highlight w:val="none"/>
        </w:rPr>
        <w:t>进口设备一律采用人民币报价</w:t>
      </w:r>
      <w:r>
        <w:rPr>
          <w:rFonts w:hint="eastAsia" w:ascii="宋体" w:hAnsi="宋体" w:cs="宋体"/>
          <w:color w:val="auto"/>
          <w:highlight w:val="none"/>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12.4</w:t>
      </w:r>
      <w:r>
        <w:rPr>
          <w:rFonts w:hint="eastAsia" w:ascii="宋体" w:hAnsi="宋体" w:cs="宋体"/>
          <w:bCs/>
          <w:color w:val="auto"/>
          <w:highlight w:val="none"/>
        </w:rPr>
        <w:t>其它费用处理</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招标文件未列明，而投标人认为必需的费用也需列入报价。</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12.5</w:t>
      </w:r>
      <w:r>
        <w:rPr>
          <w:rFonts w:hint="eastAsia" w:ascii="宋体" w:hAnsi="宋体" w:cs="宋体"/>
          <w:bCs/>
          <w:color w:val="auto"/>
          <w:highlight w:val="none"/>
        </w:rPr>
        <w:t>投标配置与分项报价表上的价格应按下列方式分开填写</w:t>
      </w:r>
      <w:r>
        <w:rPr>
          <w:rFonts w:hint="eastAsia" w:ascii="宋体" w:hAnsi="宋体" w:cs="宋体"/>
          <w:color w:val="auto"/>
          <w:highlight w:val="none"/>
        </w:rPr>
        <w:t>：</w:t>
      </w:r>
    </w:p>
    <w:p>
      <w:pPr>
        <w:pStyle w:val="25"/>
        <w:widowControl/>
        <w:spacing w:before="0" w:after="0"/>
        <w:rPr>
          <w:rFonts w:hint="eastAsia" w:ascii="宋体" w:hAnsi="宋体" w:cs="宋体"/>
          <w:bCs/>
          <w:color w:val="auto"/>
          <w:highlight w:val="none"/>
        </w:rPr>
      </w:pPr>
      <w:bookmarkStart w:id="80" w:name="_Hlt26670425"/>
      <w:bookmarkEnd w:id="80"/>
      <w:bookmarkStart w:id="81" w:name="_Hlt26670403"/>
      <w:bookmarkEnd w:id="81"/>
      <w:bookmarkStart w:id="82" w:name="_Hlt26954842"/>
      <w:bookmarkEnd w:id="82"/>
      <w:bookmarkStart w:id="83" w:name="_Hlt26954844"/>
      <w:bookmarkEnd w:id="83"/>
      <w:bookmarkStart w:id="84" w:name="_Hlt26668983"/>
      <w:bookmarkEnd w:id="84"/>
      <w:r>
        <w:rPr>
          <w:rFonts w:hint="eastAsia" w:ascii="宋体" w:hAnsi="宋体" w:cs="宋体"/>
          <w:bCs/>
          <w:color w:val="auto"/>
          <w:highlight w:val="none"/>
        </w:rPr>
        <w:t>（1）</w:t>
      </w:r>
      <w:r>
        <w:rPr>
          <w:rFonts w:hint="eastAsia" w:ascii="宋体" w:hAnsi="宋体" w:cs="宋体"/>
          <w:color w:val="auto"/>
          <w:highlight w:val="none"/>
        </w:rPr>
        <w:t>项目总价：包括</w:t>
      </w:r>
      <w:r>
        <w:rPr>
          <w:rFonts w:hint="eastAsia" w:ascii="宋体" w:hAnsi="宋体" w:cs="宋体"/>
          <w:bCs/>
          <w:color w:val="auto"/>
          <w:highlight w:val="none"/>
        </w:rPr>
        <w:t>买方需求的货物价格</w:t>
      </w:r>
      <w:r>
        <w:rPr>
          <w:rFonts w:hint="eastAsia" w:ascii="宋体" w:hAnsi="宋体" w:cs="宋体"/>
          <w:color w:val="auto"/>
          <w:highlight w:val="none"/>
        </w:rPr>
        <w:t>、</w:t>
      </w:r>
      <w:r>
        <w:rPr>
          <w:rFonts w:hint="eastAsia" w:ascii="宋体" w:hAnsi="宋体" w:cs="宋体"/>
          <w:bCs/>
          <w:color w:val="auto"/>
          <w:highlight w:val="none"/>
        </w:rPr>
        <w:t>质量保证费用、培训费用及售后服务费用，项目在指定地点、环境交付、安装、调试、验收所需费用和所有</w:t>
      </w:r>
      <w:r>
        <w:rPr>
          <w:rFonts w:hint="eastAsia" w:ascii="宋体" w:hAnsi="宋体" w:cs="宋体"/>
          <w:color w:val="auto"/>
          <w:highlight w:val="none"/>
        </w:rPr>
        <w:t>相关税金费用</w:t>
      </w:r>
      <w:r>
        <w:rPr>
          <w:rFonts w:hint="eastAsia" w:ascii="宋体" w:hAnsi="宋体" w:cs="宋体"/>
          <w:bCs/>
          <w:color w:val="auto"/>
          <w:highlight w:val="none"/>
        </w:rPr>
        <w:t>及为完成整个项目所产生的其它所有费用。</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（2）</w:t>
      </w:r>
      <w:r>
        <w:rPr>
          <w:rFonts w:hint="eastAsia" w:ascii="宋体" w:hAnsi="宋体" w:cs="宋体"/>
          <w:bCs/>
          <w:color w:val="auto"/>
          <w:highlight w:val="none"/>
        </w:rPr>
        <w:t>项目单价按投标配置及分项报价表中要求填报。</w:t>
      </w:r>
    </w:p>
    <w:p>
      <w:pPr>
        <w:pStyle w:val="25"/>
        <w:widowControl/>
        <w:spacing w:before="0" w:after="0"/>
        <w:rPr>
          <w:rFonts w:hint="eastAsia" w:ascii="宋体" w:hAnsi="宋体" w:cs="宋体"/>
          <w:b/>
          <w:color w:val="auto"/>
          <w:highlight w:val="none"/>
        </w:rPr>
      </w:pPr>
      <w:bookmarkStart w:id="85" w:name="_Hlt26670482"/>
      <w:bookmarkEnd w:id="85"/>
      <w:bookmarkStart w:id="86" w:name="_Hlt26954848"/>
      <w:bookmarkEnd w:id="86"/>
      <w:bookmarkStart w:id="87" w:name="_Hlt26670486"/>
      <w:bookmarkEnd w:id="87"/>
      <w:bookmarkStart w:id="88" w:name="_Hlt26954731"/>
      <w:bookmarkEnd w:id="88"/>
      <w:bookmarkStart w:id="89" w:name="_Hlt26954846"/>
      <w:bookmarkEnd w:id="89"/>
      <w:r>
        <w:rPr>
          <w:rFonts w:hint="eastAsia" w:ascii="宋体" w:hAnsi="宋体" w:cs="宋体"/>
          <w:b/>
          <w:color w:val="auto"/>
          <w:highlight w:val="none"/>
        </w:rPr>
        <w:t>13、技术参数响应及偏离表和投标货物说明</w:t>
      </w:r>
    </w:p>
    <w:p>
      <w:pPr>
        <w:pStyle w:val="25"/>
        <w:widowControl/>
        <w:spacing w:before="0" w:after="0"/>
        <w:rPr>
          <w:rFonts w:hint="eastAsia" w:ascii="宋体" w:hAnsi="宋体" w:cs="宋体"/>
          <w:color w:val="auto"/>
          <w:highlight w:val="none"/>
          <w:lang w:val="zh-CN"/>
        </w:rPr>
      </w:pPr>
      <w:r>
        <w:rPr>
          <w:rFonts w:hint="eastAsia" w:ascii="宋体" w:hAnsi="宋体" w:cs="宋体"/>
          <w:bCs/>
          <w:color w:val="auto"/>
          <w:highlight w:val="none"/>
          <w:lang w:val="zh-CN"/>
        </w:rPr>
        <w:t>13.1</w:t>
      </w:r>
      <w:r>
        <w:rPr>
          <w:rFonts w:hint="eastAsia" w:ascii="宋体" w:hAnsi="宋体" w:cs="宋体"/>
          <w:color w:val="auto"/>
          <w:highlight w:val="none"/>
          <w:lang w:val="zh-CN"/>
        </w:rPr>
        <w:t>对招标文件中的技术与商务条款要求逐项作出响应或偏离，并说明原因；</w:t>
      </w:r>
    </w:p>
    <w:p>
      <w:pPr>
        <w:pStyle w:val="25"/>
        <w:widowControl/>
        <w:spacing w:before="0" w:after="0"/>
        <w:rPr>
          <w:rFonts w:hint="eastAsia" w:ascii="宋体" w:hAnsi="宋体" w:cs="宋体"/>
          <w:color w:val="auto"/>
          <w:highlight w:val="none"/>
          <w:lang w:val="zh-CN"/>
        </w:rPr>
      </w:pPr>
      <w:r>
        <w:rPr>
          <w:rFonts w:hint="eastAsia" w:ascii="宋体" w:hAnsi="宋体" w:cs="宋体"/>
          <w:color w:val="auto"/>
          <w:highlight w:val="none"/>
          <w:lang w:val="zh-CN"/>
        </w:rPr>
        <w:t>13.2详细阐述所投货物的主要组成部分、功能设计、实现思路及关键技术；</w:t>
      </w:r>
    </w:p>
    <w:p>
      <w:pPr>
        <w:pStyle w:val="25"/>
        <w:widowControl/>
        <w:spacing w:before="0" w:after="0"/>
        <w:rPr>
          <w:rFonts w:hint="eastAsia" w:ascii="宋体" w:hAnsi="宋体" w:cs="宋体"/>
          <w:color w:val="auto"/>
          <w:highlight w:val="none"/>
          <w:lang w:val="zh-CN"/>
        </w:rPr>
      </w:pPr>
      <w:r>
        <w:rPr>
          <w:rFonts w:hint="eastAsia" w:ascii="宋体" w:hAnsi="宋体" w:cs="宋体"/>
          <w:color w:val="auto"/>
          <w:highlight w:val="none"/>
          <w:lang w:val="zh-CN"/>
        </w:rPr>
        <w:t>13.3投标人认为需要的其他技术文件或说明。</w:t>
      </w:r>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14、服务承诺及售后服务机构、人员的情况介绍</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14.1</w:t>
      </w:r>
      <w:r>
        <w:rPr>
          <w:rFonts w:hint="eastAsia" w:ascii="宋体" w:hAnsi="宋体" w:cs="宋体"/>
          <w:color w:val="auto"/>
          <w:highlight w:val="none"/>
        </w:rPr>
        <w:t>投标人的服务承诺应按不低于招标文件中商务要求的标准；</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14.2</w:t>
      </w:r>
      <w:r>
        <w:rPr>
          <w:rFonts w:hint="eastAsia" w:ascii="宋体" w:hAnsi="宋体" w:cs="宋体"/>
          <w:color w:val="auto"/>
          <w:highlight w:val="none"/>
        </w:rPr>
        <w:t>提供投标人有关售后服务的管理制度、售后服务机构的分布情况、售后服务人员的数量、素质、技术水平及售后服务的反应能力；</w:t>
      </w:r>
    </w:p>
    <w:p>
      <w:pPr>
        <w:pStyle w:val="25"/>
        <w:widowControl/>
        <w:spacing w:before="0" w:after="0"/>
        <w:rPr>
          <w:rFonts w:hint="eastAsia" w:ascii="宋体" w:hAnsi="宋体" w:cs="宋体"/>
          <w:color w:val="auto"/>
          <w:highlight w:val="none"/>
          <w:lang w:val="zh-CN"/>
        </w:rPr>
      </w:pPr>
      <w:r>
        <w:rPr>
          <w:rFonts w:hint="eastAsia" w:ascii="宋体" w:hAnsi="宋体" w:cs="宋体"/>
          <w:color w:val="auto"/>
          <w:highlight w:val="none"/>
          <w:lang w:val="zh-CN"/>
        </w:rPr>
        <w:t>14.3培训计划；</w:t>
      </w:r>
    </w:p>
    <w:p>
      <w:pPr>
        <w:pStyle w:val="25"/>
        <w:widowControl/>
        <w:spacing w:before="0" w:after="0"/>
        <w:rPr>
          <w:rFonts w:hint="eastAsia" w:ascii="宋体" w:hAnsi="宋体" w:cs="宋体"/>
          <w:color w:val="auto"/>
          <w:highlight w:val="none"/>
          <w:lang w:val="zh-CN"/>
        </w:rPr>
      </w:pPr>
      <w:r>
        <w:rPr>
          <w:rFonts w:hint="eastAsia" w:ascii="宋体" w:hAnsi="宋体" w:cs="宋体"/>
          <w:color w:val="auto"/>
          <w:highlight w:val="none"/>
          <w:lang w:val="zh-CN"/>
        </w:rPr>
        <w:t>14.4提供参加本项目类似案例简介；</w:t>
      </w:r>
    </w:p>
    <w:p>
      <w:pPr>
        <w:pStyle w:val="25"/>
        <w:widowControl/>
        <w:spacing w:before="0" w:after="0"/>
        <w:rPr>
          <w:rFonts w:hint="eastAsia" w:ascii="宋体" w:hAnsi="宋体" w:cs="宋体"/>
          <w:b/>
          <w:color w:val="auto"/>
          <w:highlight w:val="none"/>
        </w:rPr>
      </w:pPr>
      <w:bookmarkStart w:id="90" w:name="_Toc49090510"/>
      <w:bookmarkStart w:id="91" w:name="_Toc14577359"/>
      <w:r>
        <w:rPr>
          <w:rFonts w:hint="eastAsia" w:ascii="宋体" w:hAnsi="宋体" w:cs="宋体"/>
          <w:b/>
          <w:color w:val="auto"/>
          <w:highlight w:val="none"/>
        </w:rPr>
        <w:t>15、投标函和开标一览表</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15.1</w:t>
      </w:r>
      <w:r>
        <w:rPr>
          <w:rFonts w:hint="eastAsia" w:ascii="宋体" w:hAnsi="宋体" w:cs="宋体"/>
          <w:color w:val="auto"/>
          <w:highlight w:val="none"/>
        </w:rPr>
        <w:t>投标人应按照招标文件中提供的格式完整、正确填写投标函、开标一览表。</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15.2开标一览表中的价格应与投标文件中投标配置与分项报价表中的价格一致，如不一致，评标时按开标一览表中价格为准</w:t>
      </w:r>
      <w:r>
        <w:rPr>
          <w:rFonts w:hint="eastAsia" w:ascii="宋体" w:hAnsi="宋体" w:cs="宋体"/>
          <w:b/>
          <w:bCs/>
          <w:color w:val="auto"/>
          <w:highlight w:val="none"/>
        </w:rPr>
        <w:t>。</w:t>
      </w:r>
    </w:p>
    <w:p>
      <w:pPr>
        <w:pStyle w:val="25"/>
        <w:widowControl/>
        <w:spacing w:before="0" w:after="0"/>
        <w:rPr>
          <w:rFonts w:hint="eastAsia" w:ascii="宋体" w:hAnsi="宋体" w:cs="宋体"/>
          <w:b/>
          <w:i/>
          <w:color w:val="auto"/>
          <w:highlight w:val="none"/>
          <w:u w:val="single"/>
        </w:rPr>
      </w:pPr>
      <w:r>
        <w:rPr>
          <w:rFonts w:hint="eastAsia" w:ascii="宋体" w:hAnsi="宋体" w:cs="宋体"/>
          <w:bCs/>
          <w:color w:val="auto"/>
          <w:highlight w:val="none"/>
        </w:rPr>
        <w:t>15.3</w:t>
      </w:r>
      <w:r>
        <w:rPr>
          <w:rFonts w:hint="eastAsia" w:ascii="宋体" w:hAnsi="宋体" w:cs="宋体"/>
          <w:b/>
          <w:i/>
          <w:color w:val="auto"/>
          <w:highlight w:val="none"/>
          <w:u w:val="single"/>
        </w:rPr>
        <w:t>开标一览表必须加</w:t>
      </w:r>
      <w:r>
        <w:rPr>
          <w:rFonts w:hint="eastAsia" w:ascii="宋体" w:hAnsi="宋体" w:cs="宋体"/>
          <w:b/>
          <w:bCs/>
          <w:i/>
          <w:iCs/>
          <w:color w:val="auto"/>
          <w:highlight w:val="none"/>
          <w:u w:val="single"/>
        </w:rPr>
        <w:t>盖投标人公章（复印件无效），必须</w:t>
      </w:r>
      <w:r>
        <w:rPr>
          <w:rFonts w:hint="eastAsia" w:ascii="宋体" w:hAnsi="宋体" w:cs="宋体"/>
          <w:b/>
          <w:i/>
          <w:color w:val="auto"/>
          <w:highlight w:val="none"/>
          <w:u w:val="single"/>
        </w:rPr>
        <w:t>单独密封在信封中，在投标截止时间前与投标文件分别递交，否则视为无效投标。</w:t>
      </w:r>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16、投标保证金</w:t>
      </w:r>
      <w:bookmarkEnd w:id="90"/>
      <w:bookmarkEnd w:id="91"/>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16.1</w:t>
      </w:r>
      <w:r>
        <w:rPr>
          <w:rFonts w:hint="eastAsia" w:ascii="宋体" w:hAnsi="宋体" w:cs="宋体"/>
          <w:bCs/>
          <w:color w:val="auto"/>
          <w:highlight w:val="none"/>
        </w:rPr>
        <w:t>在开标时，未按要求提交投标保证金的投标无效。</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16.2</w:t>
      </w:r>
      <w:r>
        <w:rPr>
          <w:rFonts w:hint="eastAsia" w:ascii="宋体" w:hAnsi="宋体" w:cs="宋体"/>
          <w:bCs/>
          <w:color w:val="auto"/>
          <w:highlight w:val="none"/>
        </w:rPr>
        <w:t>未中标的投标人的投标保证金，将在中标通知书发出之日起5个工作日内退还，不计利息。</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16.3</w:t>
      </w:r>
      <w:r>
        <w:rPr>
          <w:rFonts w:hint="eastAsia" w:ascii="宋体" w:hAnsi="宋体" w:cs="宋体"/>
          <w:bCs/>
          <w:color w:val="auto"/>
          <w:highlight w:val="none"/>
        </w:rPr>
        <w:t>下列任何情况发生时，投标保证金将不予退还：</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（1）投标人在投标有效期内撤回其投标；</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（2）投标人提供的有关资料、资格证明文件被确认是不真实的；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（3）投标人之间被证实有串通（统一哄抬价格）、欺诈行为；</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（4）投标人被证明有妨碍其他人公平竞争、损害采购人或者其他投标人合法权益的；</w:t>
      </w:r>
    </w:p>
    <w:p>
      <w:pPr>
        <w:pStyle w:val="25"/>
        <w:widowControl/>
        <w:spacing w:before="0" w:after="0"/>
        <w:rPr>
          <w:rFonts w:hint="eastAsia" w:ascii="宋体" w:hAnsi="宋体" w:cs="宋体"/>
          <w:b/>
          <w:color w:val="auto"/>
          <w:highlight w:val="none"/>
        </w:rPr>
      </w:pPr>
      <w:bookmarkStart w:id="92" w:name="_Hlt26670489"/>
      <w:bookmarkEnd w:id="92"/>
      <w:bookmarkStart w:id="93" w:name="_Hlt26954852"/>
      <w:bookmarkEnd w:id="93"/>
      <w:bookmarkStart w:id="94" w:name="_Hlt26954850"/>
      <w:bookmarkEnd w:id="94"/>
      <w:bookmarkStart w:id="95" w:name="_Hlt26954734"/>
      <w:bookmarkEnd w:id="95"/>
      <w:bookmarkStart w:id="96" w:name="_Hlt26954739"/>
      <w:bookmarkEnd w:id="96"/>
      <w:bookmarkStart w:id="97" w:name="_Toc14577361"/>
      <w:bookmarkStart w:id="98" w:name="_Toc49090512"/>
      <w:r>
        <w:rPr>
          <w:rFonts w:hint="eastAsia" w:ascii="宋体" w:hAnsi="宋体" w:cs="宋体"/>
          <w:b/>
          <w:color w:val="auto"/>
          <w:highlight w:val="none"/>
        </w:rPr>
        <w:t>17、投标文件份数和签署</w:t>
      </w:r>
      <w:bookmarkEnd w:id="97"/>
      <w:bookmarkEnd w:id="98"/>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17.1</w:t>
      </w:r>
      <w:r>
        <w:rPr>
          <w:rFonts w:hint="eastAsia" w:ascii="宋体" w:hAnsi="宋体" w:cs="宋体"/>
          <w:bCs/>
          <w:color w:val="auto"/>
          <w:highlight w:val="none"/>
        </w:rPr>
        <w:t>投标人应严格按照招标公告要求的份数准备投标文件，每份投标文件须清楚地标明“正本”或“副本”字样。一旦正本和副本不符，以正本为准。</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17.2投标文件的正本须经法定代表人或授权代表签署和加盖投标人公章。</w:t>
      </w:r>
    </w:p>
    <w:p>
      <w:pPr>
        <w:pStyle w:val="25"/>
        <w:widowControl/>
        <w:spacing w:before="0" w:after="0"/>
        <w:rPr>
          <w:rFonts w:hint="eastAsia" w:ascii="宋体" w:hAnsi="宋体" w:cs="宋体"/>
          <w:b/>
          <w:color w:val="auto"/>
          <w:highlight w:val="none"/>
        </w:rPr>
      </w:pPr>
      <w:bookmarkStart w:id="99" w:name="_Toc16938540"/>
      <w:bookmarkStart w:id="100" w:name="_Toc120614217"/>
      <w:bookmarkStart w:id="101" w:name="_Toc513029224"/>
      <w:bookmarkStart w:id="102" w:name="_Toc517190885"/>
      <w:bookmarkStart w:id="103" w:name="_Toc20823296"/>
      <w:r>
        <w:rPr>
          <w:rFonts w:hint="eastAsia" w:ascii="宋体" w:hAnsi="宋体" w:cs="宋体"/>
          <w:b/>
          <w:color w:val="auto"/>
          <w:highlight w:val="none"/>
        </w:rPr>
        <w:t>四、投标文件的递交</w:t>
      </w:r>
      <w:bookmarkEnd w:id="99"/>
      <w:bookmarkEnd w:id="100"/>
      <w:bookmarkEnd w:id="101"/>
      <w:bookmarkEnd w:id="102"/>
      <w:bookmarkEnd w:id="103"/>
    </w:p>
    <w:p>
      <w:pPr>
        <w:pStyle w:val="25"/>
        <w:widowControl/>
        <w:spacing w:before="0" w:after="0"/>
        <w:rPr>
          <w:rFonts w:hint="eastAsia" w:ascii="宋体" w:hAnsi="宋体" w:cs="宋体"/>
          <w:b/>
          <w:color w:val="auto"/>
          <w:highlight w:val="none"/>
        </w:rPr>
      </w:pPr>
      <w:bookmarkStart w:id="104" w:name="_Toc16938541"/>
      <w:bookmarkStart w:id="105" w:name="_Toc20823297"/>
      <w:bookmarkStart w:id="106" w:name="_Toc513029225"/>
      <w:bookmarkStart w:id="107" w:name="_Toc462564084"/>
      <w:r>
        <w:rPr>
          <w:rFonts w:hint="eastAsia" w:ascii="宋体" w:hAnsi="宋体" w:cs="宋体"/>
          <w:b/>
          <w:color w:val="auto"/>
          <w:highlight w:val="none"/>
        </w:rPr>
        <w:t>18、投标文件的密封和标记</w:t>
      </w:r>
      <w:bookmarkEnd w:id="104"/>
      <w:bookmarkEnd w:id="105"/>
      <w:bookmarkEnd w:id="106"/>
      <w:bookmarkEnd w:id="107"/>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18.1</w:t>
      </w:r>
      <w:r>
        <w:rPr>
          <w:rFonts w:hint="eastAsia" w:ascii="宋体" w:hAnsi="宋体" w:cs="宋体"/>
          <w:bCs/>
          <w:color w:val="auto"/>
          <w:highlight w:val="none"/>
        </w:rPr>
        <w:t>投标人应将投标文件正本和所有副本密封，不论投标人中标与否，投标文件均不退回。</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18.2</w:t>
      </w:r>
      <w:r>
        <w:rPr>
          <w:rFonts w:hint="eastAsia" w:ascii="宋体" w:hAnsi="宋体" w:cs="宋体"/>
          <w:bCs/>
          <w:color w:val="auto"/>
          <w:highlight w:val="none"/>
        </w:rPr>
        <w:t>密封的投标文件应：</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（1）注明投标人名称，如因标注不清而产生的后果由投标人自负。</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（2）注明投标项目名称、标书编号及包号。</w:t>
      </w:r>
    </w:p>
    <w:p>
      <w:pPr>
        <w:pStyle w:val="25"/>
        <w:widowControl/>
        <w:spacing w:before="0" w:after="0"/>
        <w:ind w:firstLine="360" w:firstLineChars="150"/>
        <w:rPr>
          <w:rFonts w:hint="eastAsia" w:ascii="宋体" w:hAnsi="宋体" w:cs="宋体"/>
          <w:bCs/>
          <w:color w:val="auto"/>
          <w:highlight w:val="none"/>
        </w:rPr>
      </w:pPr>
      <w:r>
        <w:rPr>
          <w:rFonts w:hint="eastAsia" w:ascii="宋体" w:hAnsi="宋体" w:cs="宋体"/>
          <w:bCs/>
          <w:color w:val="auto"/>
          <w:highlight w:val="none"/>
        </w:rPr>
        <w:t>（3）未按要求密封和加写标记，采购人对误投或过早启封概不负责。对由此造成提前开封的投标文件，采购人将予以拒绝，作无效投标处理。</w:t>
      </w:r>
    </w:p>
    <w:p>
      <w:pPr>
        <w:pStyle w:val="25"/>
        <w:widowControl/>
        <w:spacing w:before="0" w:after="0"/>
        <w:rPr>
          <w:rFonts w:hint="eastAsia" w:ascii="宋体" w:hAnsi="宋体" w:cs="宋体"/>
          <w:b/>
          <w:color w:val="auto"/>
          <w:highlight w:val="none"/>
        </w:rPr>
      </w:pPr>
      <w:bookmarkStart w:id="108" w:name="_Toc16938542"/>
      <w:bookmarkStart w:id="109" w:name="_Toc20823298"/>
      <w:bookmarkStart w:id="110" w:name="_Toc513029226"/>
      <w:r>
        <w:rPr>
          <w:rFonts w:hint="eastAsia" w:ascii="宋体" w:hAnsi="宋体" w:cs="宋体"/>
          <w:b/>
          <w:color w:val="auto"/>
          <w:highlight w:val="none"/>
        </w:rPr>
        <w:t>19、投标截止</w:t>
      </w:r>
      <w:bookmarkEnd w:id="108"/>
      <w:bookmarkEnd w:id="109"/>
      <w:bookmarkEnd w:id="110"/>
      <w:r>
        <w:rPr>
          <w:rFonts w:hint="eastAsia" w:ascii="宋体" w:hAnsi="宋体" w:cs="宋体"/>
          <w:b/>
          <w:color w:val="auto"/>
          <w:highlight w:val="none"/>
        </w:rPr>
        <w:t>时间</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19.1</w:t>
      </w:r>
      <w:r>
        <w:rPr>
          <w:rFonts w:hint="eastAsia" w:ascii="宋体" w:hAnsi="宋体" w:cs="宋体"/>
          <w:bCs/>
          <w:color w:val="auto"/>
          <w:highlight w:val="none"/>
        </w:rPr>
        <w:t>采购人收到投标文件的时间不得迟于招标公告中规定的截止时间。</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19.2</w:t>
      </w:r>
      <w:r>
        <w:rPr>
          <w:rFonts w:hint="eastAsia" w:ascii="宋体" w:hAnsi="宋体" w:cs="宋体"/>
          <w:bCs/>
          <w:color w:val="auto"/>
          <w:highlight w:val="none"/>
        </w:rPr>
        <w:t>采购人可以按照规定，通过修改招标文件酌情延长投标截止日期，在此情况下，投标人的所有权利和义务以及投标人受制的截止日期均应以延长后新的截止日期为准。</w:t>
      </w:r>
    </w:p>
    <w:p>
      <w:pPr>
        <w:pStyle w:val="25"/>
        <w:widowControl/>
        <w:spacing w:before="0" w:after="0"/>
        <w:rPr>
          <w:rFonts w:hint="eastAsia" w:ascii="宋体" w:hAnsi="宋体" w:cs="宋体"/>
          <w:b/>
          <w:color w:val="auto"/>
          <w:highlight w:val="none"/>
        </w:rPr>
      </w:pPr>
      <w:bookmarkStart w:id="111" w:name="_Toc16938543"/>
      <w:bookmarkStart w:id="112" w:name="_Toc20823299"/>
      <w:bookmarkStart w:id="113" w:name="_Toc513029227"/>
      <w:r>
        <w:rPr>
          <w:rFonts w:hint="eastAsia" w:ascii="宋体" w:hAnsi="宋体" w:cs="宋体"/>
          <w:b/>
          <w:color w:val="auto"/>
          <w:highlight w:val="none"/>
        </w:rPr>
        <w:t>20、投标文件</w:t>
      </w:r>
      <w:bookmarkEnd w:id="111"/>
      <w:bookmarkEnd w:id="112"/>
      <w:bookmarkEnd w:id="113"/>
      <w:r>
        <w:rPr>
          <w:rFonts w:hint="eastAsia" w:ascii="宋体" w:hAnsi="宋体" w:cs="宋体"/>
          <w:b/>
          <w:color w:val="auto"/>
          <w:highlight w:val="none"/>
        </w:rPr>
        <w:t>的递交</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20.1</w:t>
      </w:r>
      <w:r>
        <w:rPr>
          <w:rFonts w:hint="eastAsia" w:ascii="宋体" w:hAnsi="宋体" w:cs="宋体"/>
          <w:bCs/>
          <w:color w:val="auto"/>
          <w:highlight w:val="none"/>
        </w:rPr>
        <w:t>采购人拒绝接收在其规定的投标截止时间后递交的任何投标文件。</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20.2未按照招标文件要求的格式编制的投标文件，后果由投标人承担。</w:t>
      </w:r>
    </w:p>
    <w:p>
      <w:pPr>
        <w:pStyle w:val="25"/>
        <w:widowControl/>
        <w:spacing w:before="0" w:after="0"/>
        <w:rPr>
          <w:rFonts w:hint="eastAsia" w:ascii="宋体" w:hAnsi="宋体" w:cs="宋体"/>
          <w:b/>
          <w:color w:val="auto"/>
          <w:highlight w:val="none"/>
        </w:rPr>
      </w:pPr>
      <w:bookmarkStart w:id="114" w:name="_Toc16938544"/>
      <w:bookmarkStart w:id="115" w:name="_Toc20823300"/>
      <w:bookmarkStart w:id="116" w:name="_Toc513029228"/>
      <w:r>
        <w:rPr>
          <w:rFonts w:hint="eastAsia" w:ascii="宋体" w:hAnsi="宋体" w:cs="宋体"/>
          <w:b/>
          <w:color w:val="auto"/>
          <w:highlight w:val="none"/>
        </w:rPr>
        <w:t>21、投标文件的修改和撤回</w:t>
      </w:r>
      <w:bookmarkEnd w:id="114"/>
      <w:bookmarkEnd w:id="115"/>
      <w:bookmarkEnd w:id="116"/>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21.1</w:t>
      </w:r>
      <w:r>
        <w:rPr>
          <w:rFonts w:hint="eastAsia" w:ascii="宋体" w:hAnsi="宋体" w:cs="宋体"/>
          <w:bCs/>
          <w:color w:val="auto"/>
          <w:highlight w:val="none"/>
        </w:rPr>
        <w:t>投标人在递交投标文件后，可以修改或撤回其投标文件，但这种修改和撤回，必须在规定的投标截止时间前，以书面形式</w:t>
      </w:r>
      <w:r>
        <w:rPr>
          <w:rFonts w:hint="eastAsia" w:ascii="宋体" w:hAnsi="宋体" w:cs="宋体"/>
          <w:color w:val="auto"/>
          <w:highlight w:val="none"/>
        </w:rPr>
        <w:t>通知采购人，修改或撤回其投标文件。</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21.2</w:t>
      </w:r>
      <w:r>
        <w:rPr>
          <w:rFonts w:hint="eastAsia" w:ascii="宋体" w:hAnsi="宋体" w:cs="宋体"/>
          <w:bCs/>
          <w:color w:val="auto"/>
          <w:highlight w:val="none"/>
        </w:rPr>
        <w:t>投标人的修改或撤回文件应按规定进行编制、密封、标记和发送，并应在封套上加注“修改”或“撤回”字样。</w:t>
      </w:r>
      <w:r>
        <w:rPr>
          <w:rFonts w:hint="eastAsia" w:ascii="宋体" w:hAnsi="宋体" w:cs="宋体"/>
          <w:color w:val="auto"/>
          <w:highlight w:val="none"/>
        </w:rPr>
        <w:t>上述补充或修改若涉及投标报价，必须注明“最后唯一报价”字样，否则将视为有选择的报价，作为无效投标文件处理。修改文件必须在投标截止时间前送达采购人。</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21.3</w:t>
      </w:r>
      <w:r>
        <w:rPr>
          <w:rFonts w:hint="eastAsia" w:ascii="宋体" w:hAnsi="宋体" w:cs="宋体"/>
          <w:bCs/>
          <w:color w:val="auto"/>
          <w:highlight w:val="none"/>
        </w:rPr>
        <w:t>在投标截止时间之后，投标人不得对其投标文件作任何修改。</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21.4</w:t>
      </w:r>
      <w:r>
        <w:rPr>
          <w:rFonts w:hint="eastAsia" w:ascii="宋体" w:hAnsi="宋体" w:cs="宋体"/>
          <w:bCs/>
          <w:color w:val="auto"/>
          <w:highlight w:val="none"/>
        </w:rPr>
        <w:t>在投标截止时间至招标文件中规定的投标有效期满之间的这段时间内，投标人不得撤回其投标，否则其投标保证金将不予退还。</w:t>
      </w:r>
    </w:p>
    <w:p>
      <w:pPr>
        <w:pStyle w:val="25"/>
        <w:widowControl/>
        <w:spacing w:before="0" w:after="0"/>
        <w:rPr>
          <w:rFonts w:hint="eastAsia" w:ascii="宋体" w:hAnsi="宋体" w:cs="宋体"/>
          <w:b/>
          <w:color w:val="auto"/>
          <w:highlight w:val="none"/>
        </w:rPr>
      </w:pPr>
      <w:bookmarkStart w:id="117" w:name="_Toc120614218"/>
      <w:bookmarkStart w:id="118" w:name="_Toc16938545"/>
      <w:bookmarkStart w:id="119" w:name="_Toc20823301"/>
      <w:bookmarkStart w:id="120" w:name="_Toc517190886"/>
      <w:bookmarkStart w:id="121" w:name="_Toc513029229"/>
      <w:r>
        <w:rPr>
          <w:rFonts w:hint="eastAsia" w:ascii="宋体" w:hAnsi="宋体" w:cs="宋体"/>
          <w:b/>
          <w:color w:val="auto"/>
          <w:highlight w:val="none"/>
        </w:rPr>
        <w:t>五、开标与评标</w:t>
      </w:r>
      <w:bookmarkEnd w:id="117"/>
      <w:bookmarkEnd w:id="118"/>
      <w:bookmarkEnd w:id="119"/>
      <w:bookmarkEnd w:id="120"/>
      <w:bookmarkEnd w:id="121"/>
    </w:p>
    <w:p>
      <w:pPr>
        <w:pStyle w:val="25"/>
        <w:widowControl/>
        <w:spacing w:before="0" w:after="0"/>
        <w:rPr>
          <w:rFonts w:hint="eastAsia" w:ascii="宋体" w:hAnsi="宋体" w:cs="宋体"/>
          <w:b/>
          <w:color w:val="auto"/>
          <w:highlight w:val="none"/>
        </w:rPr>
      </w:pPr>
      <w:bookmarkStart w:id="122" w:name="_Toc16938546"/>
      <w:bookmarkStart w:id="123" w:name="_Toc20823302"/>
      <w:bookmarkStart w:id="124" w:name="_Toc513029230"/>
      <w:r>
        <w:rPr>
          <w:rFonts w:hint="eastAsia" w:ascii="宋体" w:hAnsi="宋体" w:cs="宋体"/>
          <w:b/>
          <w:color w:val="auto"/>
          <w:highlight w:val="none"/>
        </w:rPr>
        <w:t>22、开标</w:t>
      </w:r>
      <w:bookmarkEnd w:id="122"/>
      <w:bookmarkEnd w:id="123"/>
      <w:bookmarkEnd w:id="124"/>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22.1</w:t>
      </w:r>
      <w:r>
        <w:rPr>
          <w:rFonts w:hint="eastAsia" w:ascii="宋体" w:hAnsi="宋体" w:cs="宋体"/>
          <w:bCs/>
          <w:color w:val="auto"/>
          <w:highlight w:val="none"/>
        </w:rPr>
        <w:t>采购人将在招标公告中规定的时间和地点组织公开开标</w:t>
      </w:r>
      <w:r>
        <w:rPr>
          <w:rFonts w:hint="eastAsia" w:ascii="宋体" w:hAnsi="宋体" w:cs="宋体"/>
          <w:color w:val="auto"/>
          <w:highlight w:val="none"/>
        </w:rPr>
        <w:t>。投标人应委派携带有效身份证件的授权代表准时参加，未现场参加的授权代表视为同意开标，如有需要现场澄清而未到场的授权代表后果自负。</w:t>
      </w:r>
    </w:p>
    <w:p>
      <w:pPr>
        <w:pStyle w:val="25"/>
        <w:widowControl/>
        <w:spacing w:before="0" w:after="0"/>
        <w:rPr>
          <w:rFonts w:hint="eastAsia" w:ascii="宋体" w:hAnsi="宋体" w:cs="宋体"/>
          <w:bCs/>
          <w:color w:val="auto"/>
          <w:highlight w:val="none"/>
        </w:rPr>
      </w:pPr>
      <w:r>
        <w:rPr>
          <w:rFonts w:hint="eastAsia" w:ascii="宋体" w:hAnsi="宋体" w:cs="宋体"/>
          <w:color w:val="auto"/>
          <w:highlight w:val="none"/>
        </w:rPr>
        <w:t>22.2</w:t>
      </w:r>
      <w:r>
        <w:rPr>
          <w:rFonts w:hint="eastAsia" w:ascii="宋体" w:hAnsi="宋体" w:cs="宋体"/>
          <w:bCs/>
          <w:color w:val="auto"/>
          <w:highlight w:val="none"/>
        </w:rPr>
        <w:t>按照规定同意撤回的投标将不予开封。</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22.3开标时由投标人推选的代表查验投标文件密封情况，确认无误后，采购人当众拆封宣读每份投标文件中“开标一览表”的内容，未列入开标一览表的内容一律不在开标时宣读。</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22.4采购人将指定专人负责开标记录并存档备查，各投标人需仔细核对开标记录相关内容并签字确认。</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22.5投标人在报价时不允许采用选择性报价，否则将被视为无效投标。</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22.6投标截止时间结束后参加投标的投标人不足三家的，不得开标。</w:t>
      </w:r>
    </w:p>
    <w:p>
      <w:pPr>
        <w:pStyle w:val="25"/>
        <w:widowControl/>
        <w:spacing w:before="0" w:after="0"/>
        <w:rPr>
          <w:rFonts w:hint="eastAsia" w:ascii="宋体" w:hAnsi="宋体" w:cs="宋体"/>
          <w:b/>
          <w:color w:val="auto"/>
          <w:highlight w:val="none"/>
        </w:rPr>
      </w:pPr>
      <w:bookmarkStart w:id="125" w:name="_Toc513029231"/>
      <w:bookmarkStart w:id="126" w:name="_Toc16938547"/>
      <w:bookmarkStart w:id="127" w:name="_Toc20823303"/>
      <w:r>
        <w:rPr>
          <w:rFonts w:hint="eastAsia" w:ascii="宋体" w:hAnsi="宋体" w:cs="宋体"/>
          <w:b/>
          <w:color w:val="auto"/>
          <w:highlight w:val="none"/>
        </w:rPr>
        <w:t>23、评标</w:t>
      </w:r>
    </w:p>
    <w:p>
      <w:pPr>
        <w:pStyle w:val="25"/>
        <w:widowControl/>
        <w:spacing w:before="0" w:after="0"/>
        <w:rPr>
          <w:rFonts w:hint="eastAsia" w:ascii="宋体" w:hAnsi="宋体" w:cs="宋体"/>
          <w:b/>
          <w:color w:val="auto"/>
          <w:highlight w:val="none"/>
        </w:rPr>
      </w:pPr>
      <w:r>
        <w:rPr>
          <w:rFonts w:hint="eastAsia" w:ascii="宋体" w:hAnsi="宋体" w:cs="宋体"/>
          <w:color w:val="auto"/>
          <w:highlight w:val="none"/>
        </w:rPr>
        <w:t>23.1开标后，采购人将组织评标委员会（以下简称评委会）进行评标。</w:t>
      </w:r>
    </w:p>
    <w:p>
      <w:pPr>
        <w:pStyle w:val="25"/>
        <w:widowControl/>
        <w:spacing w:before="0" w:after="0"/>
        <w:ind w:left="330" w:leftChars="150" w:firstLine="120" w:firstLineChars="50"/>
        <w:rPr>
          <w:rFonts w:hint="eastAsia" w:ascii="宋体" w:hAnsi="宋体" w:cs="宋体"/>
          <w:color w:val="auto"/>
          <w:highlight w:val="none"/>
        </w:rPr>
      </w:pPr>
      <w:r>
        <w:rPr>
          <w:rFonts w:hint="eastAsia" w:ascii="宋体" w:hAnsi="宋体" w:cs="宋体"/>
          <w:color w:val="auto"/>
          <w:highlight w:val="none"/>
        </w:rPr>
        <w:t>23.2评委会独立工作，负责评审所有投标文件并确定中标候选人。</w:t>
      </w:r>
    </w:p>
    <w:p>
      <w:pPr>
        <w:pStyle w:val="25"/>
        <w:widowControl/>
        <w:spacing w:before="0" w:after="0"/>
        <w:ind w:left="330" w:leftChars="150" w:firstLine="120" w:firstLineChars="50"/>
        <w:rPr>
          <w:rFonts w:hint="eastAsia" w:ascii="宋体" w:hAnsi="宋体" w:cs="宋体"/>
          <w:color w:val="auto"/>
          <w:highlight w:val="none"/>
        </w:rPr>
      </w:pPr>
      <w:r>
        <w:rPr>
          <w:rFonts w:hint="eastAsia" w:ascii="宋体" w:hAnsi="宋体" w:cs="宋体"/>
          <w:color w:val="auto"/>
          <w:highlight w:val="none"/>
        </w:rPr>
        <w:t>23.3在评标过程中，投标人不得以任何行为影响评标过程，否则其投标文件将被作为无效投标文件。</w:t>
      </w:r>
    </w:p>
    <w:bookmarkEnd w:id="125"/>
    <w:bookmarkEnd w:id="126"/>
    <w:bookmarkEnd w:id="127"/>
    <w:p>
      <w:pPr>
        <w:pStyle w:val="25"/>
        <w:widowControl/>
        <w:spacing w:before="0" w:after="0"/>
        <w:rPr>
          <w:rFonts w:hint="eastAsia" w:ascii="宋体" w:hAnsi="宋体" w:cs="宋体"/>
          <w:b/>
          <w:color w:val="auto"/>
          <w:highlight w:val="none"/>
        </w:rPr>
      </w:pPr>
      <w:bookmarkStart w:id="128" w:name="_Toc513029232"/>
      <w:bookmarkStart w:id="129" w:name="_Toc20823304"/>
      <w:bookmarkStart w:id="130" w:name="_Toc16938548"/>
      <w:r>
        <w:rPr>
          <w:rFonts w:hint="eastAsia" w:ascii="宋体" w:hAnsi="宋体" w:cs="宋体"/>
          <w:b/>
          <w:color w:val="auto"/>
          <w:highlight w:val="none"/>
        </w:rPr>
        <w:t>24．投标的澄清</w:t>
      </w:r>
      <w:bookmarkEnd w:id="128"/>
      <w:bookmarkEnd w:id="129"/>
      <w:bookmarkEnd w:id="130"/>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24.1评标期间，为有助于对投标文件的审查、评价和比较，评委会有权以书面形式要求投标人对其投标文件进行澄清，但并非对每个投标人都作澄清要求。</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24.3 接到评委会澄清要求的投标人如未按规定做出澄清，后果由投标人自行承担。</w:t>
      </w:r>
    </w:p>
    <w:p>
      <w:pPr>
        <w:pStyle w:val="25"/>
        <w:widowControl/>
        <w:spacing w:before="0" w:after="0"/>
        <w:rPr>
          <w:rFonts w:hint="eastAsia" w:ascii="宋体" w:hAnsi="宋体" w:cs="宋体"/>
          <w:b/>
          <w:color w:val="auto"/>
          <w:highlight w:val="none"/>
        </w:rPr>
      </w:pPr>
      <w:bookmarkStart w:id="131" w:name="_Toc16938550"/>
      <w:bookmarkStart w:id="132" w:name="_Toc513029234"/>
      <w:bookmarkStart w:id="133" w:name="_Toc20823306"/>
      <w:r>
        <w:rPr>
          <w:rFonts w:hint="eastAsia" w:ascii="宋体" w:hAnsi="宋体" w:cs="宋体"/>
          <w:b/>
          <w:color w:val="auto"/>
          <w:highlight w:val="none"/>
        </w:rPr>
        <w:t>25、</w:t>
      </w:r>
      <w:bookmarkEnd w:id="131"/>
      <w:bookmarkEnd w:id="132"/>
      <w:bookmarkEnd w:id="133"/>
      <w:r>
        <w:rPr>
          <w:rFonts w:hint="eastAsia" w:ascii="宋体" w:hAnsi="宋体" w:cs="宋体"/>
          <w:b/>
          <w:color w:val="auto"/>
          <w:highlight w:val="none"/>
        </w:rPr>
        <w:t>无效投标条款和废标条款</w:t>
      </w:r>
    </w:p>
    <w:p>
      <w:pPr>
        <w:pStyle w:val="25"/>
        <w:widowControl/>
        <w:spacing w:before="0" w:after="0"/>
        <w:rPr>
          <w:rFonts w:hint="eastAsia" w:ascii="宋体" w:hAnsi="宋体" w:cs="宋体"/>
          <w:bCs/>
          <w:color w:val="auto"/>
          <w:highlight w:val="none"/>
        </w:rPr>
      </w:pPr>
      <w:bookmarkStart w:id="134" w:name="_Toc16938551"/>
      <w:bookmarkStart w:id="135" w:name="_Toc513029235"/>
      <w:bookmarkStart w:id="136" w:name="_Toc20823307"/>
      <w:r>
        <w:rPr>
          <w:rFonts w:hint="eastAsia" w:ascii="宋体" w:hAnsi="宋体" w:cs="宋体"/>
          <w:bCs/>
          <w:color w:val="auto"/>
          <w:highlight w:val="none"/>
        </w:rPr>
        <w:t>25.1无效投标条款</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（1）未按要求交纳投标保证金的。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（2）未按照招标文件规定要求密封、签署、盖章的。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（3）投标人在报价时采用选择性报价的。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（4）投标人不具备招标文件中规定资格要求的。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（5）投标人的报价超过了采购预算或最高限价的。</w:t>
      </w:r>
    </w:p>
    <w:p>
      <w:pPr>
        <w:pStyle w:val="25"/>
        <w:widowControl/>
        <w:spacing w:before="0" w:after="0"/>
        <w:rPr>
          <w:rFonts w:hint="eastAsia" w:ascii="宋体" w:hAnsi="宋体" w:cs="宋体"/>
          <w:bCs/>
          <w:i/>
          <w:color w:val="auto"/>
          <w:highlight w:val="none"/>
          <w:u w:val="single"/>
        </w:rPr>
      </w:pPr>
      <w:r>
        <w:rPr>
          <w:rFonts w:hint="eastAsia" w:ascii="宋体" w:hAnsi="宋体" w:cs="宋体"/>
          <w:bCs/>
          <w:color w:val="auto"/>
          <w:highlight w:val="none"/>
        </w:rPr>
        <w:t>（6）未通过符合性检查的。</w:t>
      </w:r>
    </w:p>
    <w:p>
      <w:pPr>
        <w:pStyle w:val="25"/>
        <w:widowControl/>
        <w:spacing w:before="0" w:after="0"/>
        <w:rPr>
          <w:rFonts w:hint="eastAsia" w:ascii="宋体" w:hAnsi="宋体" w:cs="宋体"/>
          <w:bCs/>
          <w:i/>
          <w:color w:val="auto"/>
          <w:highlight w:val="none"/>
          <w:u w:val="single"/>
        </w:rPr>
      </w:pPr>
      <w:r>
        <w:rPr>
          <w:rFonts w:hint="eastAsia" w:ascii="宋体" w:hAnsi="宋体" w:cs="宋体"/>
          <w:bCs/>
          <w:color w:val="auto"/>
          <w:highlight w:val="none"/>
        </w:rPr>
        <w:t>（7）不符合招标文件中规定的其他实质性要求和条件的。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（8）投标人被“信用中国”网站（www.creditchina.gov.cn）列入失信被执行人或重大税收违法案件当事人名单或政府采购严重失信行为记录名单。</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（9）投标文件含有采购人不能接受的附加条件的。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（11）其他法律、法规及本招标文件规定的属无效投标的情形。</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25.2废标条款：</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（1）符合专业条件的投标人或者对招标文件作实质响应的投标人不足三家的。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（2）出现影响采购公正的违法、违规行为的。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（3）因重大变故，采购任务取消的。</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（4）评标委员会认定招标文件存在歧义、重大缺陷导致评审工作无法进行的。</w:t>
      </w:r>
    </w:p>
    <w:p>
      <w:pPr>
        <w:pStyle w:val="25"/>
        <w:widowControl/>
        <w:spacing w:before="0" w:after="0"/>
        <w:rPr>
          <w:rFonts w:hint="eastAsia" w:ascii="宋体" w:hAnsi="宋体" w:cs="宋体"/>
          <w:b/>
          <w:color w:val="auto"/>
          <w:highlight w:val="none"/>
        </w:rPr>
      </w:pPr>
      <w:bookmarkStart w:id="137" w:name="_Toc120614219"/>
      <w:bookmarkStart w:id="138" w:name="_Toc517190887"/>
      <w:r>
        <w:rPr>
          <w:rFonts w:hint="eastAsia" w:ascii="宋体" w:hAnsi="宋体" w:cs="宋体"/>
          <w:b/>
          <w:color w:val="auto"/>
          <w:highlight w:val="none"/>
        </w:rPr>
        <w:t>六、</w:t>
      </w:r>
      <w:bookmarkEnd w:id="134"/>
      <w:bookmarkEnd w:id="135"/>
      <w:bookmarkEnd w:id="136"/>
      <w:r>
        <w:rPr>
          <w:rFonts w:hint="eastAsia" w:ascii="宋体" w:hAnsi="宋体" w:cs="宋体"/>
          <w:b/>
          <w:color w:val="auto"/>
          <w:highlight w:val="none"/>
        </w:rPr>
        <w:t>定标</w:t>
      </w:r>
      <w:bookmarkEnd w:id="137"/>
      <w:bookmarkEnd w:id="138"/>
    </w:p>
    <w:p>
      <w:pPr>
        <w:pStyle w:val="25"/>
        <w:widowControl/>
        <w:spacing w:before="0" w:after="0"/>
        <w:rPr>
          <w:rFonts w:hint="eastAsia" w:ascii="宋体" w:hAnsi="宋体" w:cs="宋体"/>
          <w:b/>
          <w:color w:val="auto"/>
          <w:highlight w:val="none"/>
        </w:rPr>
      </w:pPr>
      <w:bookmarkStart w:id="139" w:name="_Toc513029238"/>
      <w:bookmarkStart w:id="140" w:name="_Toc20823310"/>
      <w:bookmarkStart w:id="141" w:name="_Toc16938554"/>
      <w:r>
        <w:rPr>
          <w:rFonts w:hint="eastAsia" w:ascii="宋体" w:hAnsi="宋体" w:cs="宋体"/>
          <w:b/>
          <w:color w:val="auto"/>
          <w:highlight w:val="none"/>
        </w:rPr>
        <w:t>26、</w:t>
      </w:r>
      <w:bookmarkEnd w:id="139"/>
      <w:r>
        <w:rPr>
          <w:rFonts w:hint="eastAsia" w:ascii="宋体" w:hAnsi="宋体" w:cs="宋体"/>
          <w:b/>
          <w:color w:val="auto"/>
          <w:highlight w:val="none"/>
        </w:rPr>
        <w:t>确定</w:t>
      </w:r>
      <w:bookmarkEnd w:id="140"/>
      <w:bookmarkEnd w:id="141"/>
      <w:r>
        <w:rPr>
          <w:rFonts w:hint="eastAsia" w:ascii="宋体" w:hAnsi="宋体" w:cs="宋体"/>
          <w:b/>
          <w:color w:val="auto"/>
          <w:highlight w:val="none"/>
        </w:rPr>
        <w:t>中标单位</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26.1评委会根据本招标文件规定评分办法与评分标准确定中标人；</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26.2</w:t>
      </w:r>
      <w:r>
        <w:rPr>
          <w:rFonts w:hint="eastAsia" w:ascii="宋体" w:hAnsi="宋体" w:cs="宋体"/>
          <w:color w:val="auto"/>
          <w:highlight w:val="none"/>
        </w:rPr>
        <w:t>采购人将在“南京医科大学校园网”发布中标公告，公告期限为1个工作日。</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w:t>
      </w:r>
      <w:bookmarkStart w:id="142" w:name="OLE_LINK3"/>
      <w:bookmarkStart w:id="143" w:name="OLE_LINK7"/>
      <w:bookmarkStart w:id="144" w:name="OLE_LINK4"/>
      <w:bookmarkStart w:id="145" w:name="OLE_LINK6"/>
      <w:bookmarkStart w:id="146" w:name="OLE_LINK5"/>
      <w:bookmarkStart w:id="147" w:name="OLE_LINK8"/>
      <w:r>
        <w:rPr>
          <w:rFonts w:hint="eastAsia" w:ascii="宋体" w:hAnsi="宋体" w:cs="宋体"/>
          <w:color w:val="auto"/>
          <w:highlight w:val="none"/>
        </w:rPr>
        <w:t>6.3</w:t>
      </w:r>
      <w:bookmarkEnd w:id="142"/>
      <w:bookmarkEnd w:id="143"/>
      <w:bookmarkEnd w:id="144"/>
      <w:bookmarkEnd w:id="145"/>
      <w:bookmarkEnd w:id="146"/>
      <w:bookmarkEnd w:id="147"/>
      <w:r>
        <w:rPr>
          <w:rFonts w:hint="eastAsia" w:ascii="宋体" w:hAnsi="宋体" w:cs="宋体"/>
          <w:color w:val="auto"/>
          <w:highlight w:val="none"/>
        </w:rPr>
        <w:t>若有充分证据证明，中标人出现下列情况之一的，一经查实，将被取消中标资格：</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（1）提供虚假材料谋取中标的；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（2）向采购人、评审专家行贿或者提供其他不正当利益的；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（3）恶意竞争，投标总报价明显低于其自身合理成本且又无法提供证明的；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（4）属于本文件规定的无效条件，但在评标过程中又未被评委会发现的；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（5）与采购人或者其他投标人恶意串通的；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（6）采取不正当手段诋毁、排挤其他投标人的；</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（7）不符合法律、法规的规定的。</w:t>
      </w:r>
      <w:bookmarkStart w:id="148" w:name="_Toc200451960"/>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26.4有下列情形之一的，视为投标人串通投标，投标无效：</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（1）不同投标人的投标文件由同一单位或者个人编制；</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（2）不同投标人委托同一单位或者个人办理投标事宜；</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（3）不同投标人的投标文件载明的项目管理成员或者联系人员为同一人；</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（4）不同投标人的投标文件异常一致或者投标报价呈规律性差异；</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（5）不同投标人的投标文件相互混装；</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（6）不同投标人的投标保证金从同一单位或者个人的账户转出。</w:t>
      </w:r>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27、质疑处理</w:t>
      </w:r>
      <w:bookmarkEnd w:id="148"/>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投标人认为采购文件、采购过程和采购结果使自己的权益受到损害的，可以在知道或应知其权益受到损害之日起七个工作日内，以书面形式向采购人提出质疑。</w:t>
      </w:r>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28、中标通知书</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28.1中标结果确定后，采购人将向中标人发出中标通知书。</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28.2中标通知书将是合同的一个组成部分。对采购人和中标人均具有法律效力。中标通知书发出后，采购人改变中标结果的，或者中标人放弃中标项目的，应当依法承担法律责任。</w:t>
      </w:r>
    </w:p>
    <w:p>
      <w:pPr>
        <w:pStyle w:val="25"/>
        <w:widowControl/>
        <w:spacing w:before="0" w:after="0"/>
        <w:rPr>
          <w:rFonts w:hint="eastAsia" w:ascii="宋体" w:hAnsi="宋体" w:cs="宋体"/>
          <w:b/>
          <w:color w:val="auto"/>
          <w:highlight w:val="none"/>
        </w:rPr>
      </w:pPr>
      <w:bookmarkStart w:id="149" w:name="_Toc120614220"/>
      <w:bookmarkStart w:id="150" w:name="_Toc517190888"/>
      <w:bookmarkStart w:id="151" w:name="_Toc20823308"/>
      <w:bookmarkStart w:id="152" w:name="_Toc513029236"/>
      <w:bookmarkStart w:id="153" w:name="_Toc16938552"/>
      <w:r>
        <w:rPr>
          <w:rFonts w:hint="eastAsia" w:ascii="宋体" w:hAnsi="宋体" w:cs="宋体"/>
          <w:b/>
          <w:color w:val="auto"/>
          <w:highlight w:val="none"/>
        </w:rPr>
        <w:t>七、授予合同</w:t>
      </w:r>
      <w:bookmarkEnd w:id="149"/>
      <w:bookmarkEnd w:id="150"/>
    </w:p>
    <w:bookmarkEnd w:id="151"/>
    <w:bookmarkEnd w:id="152"/>
    <w:bookmarkEnd w:id="153"/>
    <w:p>
      <w:pPr>
        <w:pStyle w:val="25"/>
        <w:widowControl/>
        <w:spacing w:before="0" w:after="0"/>
        <w:rPr>
          <w:rFonts w:hint="eastAsia" w:ascii="宋体" w:hAnsi="宋体" w:cs="宋体"/>
          <w:b/>
          <w:color w:val="auto"/>
          <w:highlight w:val="none"/>
        </w:rPr>
      </w:pPr>
      <w:bookmarkStart w:id="154" w:name="_Toc513029237"/>
      <w:bookmarkStart w:id="155" w:name="_Toc20823309"/>
      <w:bookmarkStart w:id="156" w:name="_Toc16938553"/>
      <w:r>
        <w:rPr>
          <w:rFonts w:hint="eastAsia" w:ascii="宋体" w:hAnsi="宋体" w:cs="宋体"/>
          <w:b/>
          <w:color w:val="auto"/>
          <w:highlight w:val="none"/>
        </w:rPr>
        <w:t>29. 签订合同</w:t>
      </w:r>
    </w:p>
    <w:p>
      <w:pPr>
        <w:pStyle w:val="25"/>
        <w:widowControl/>
        <w:spacing w:before="0" w:after="0"/>
        <w:rPr>
          <w:rFonts w:hint="eastAsia" w:ascii="宋体" w:hAnsi="宋体" w:cs="宋体"/>
          <w:color w:val="auto"/>
          <w:highlight w:val="none"/>
        </w:rPr>
      </w:pPr>
      <w:r>
        <w:rPr>
          <w:rFonts w:hint="eastAsia" w:ascii="宋体" w:hAnsi="宋体" w:cs="宋体"/>
          <w:bCs/>
          <w:color w:val="auto"/>
          <w:highlight w:val="none"/>
        </w:rPr>
        <w:t>29</w:t>
      </w:r>
      <w:r>
        <w:rPr>
          <w:rFonts w:hint="eastAsia" w:ascii="宋体" w:hAnsi="宋体" w:cs="宋体"/>
          <w:color w:val="auto"/>
          <w:highlight w:val="none"/>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29.2招标文件、中标人的投标文件及招标过程中有关澄清、承诺文件均应作为合同附件。</w:t>
      </w:r>
    </w:p>
    <w:p>
      <w:pPr>
        <w:pStyle w:val="25"/>
        <w:widowControl/>
        <w:spacing w:before="0" w:after="0"/>
        <w:rPr>
          <w:rFonts w:hint="eastAsia" w:ascii="宋体" w:hAnsi="宋体" w:cs="宋体"/>
          <w:color w:val="auto"/>
          <w:highlight w:val="none"/>
        </w:rPr>
      </w:pPr>
      <w:r>
        <w:rPr>
          <w:rFonts w:hint="eastAsia" w:ascii="宋体" w:hAnsi="宋体" w:cs="宋体"/>
          <w:color w:val="auto"/>
          <w:highlight w:val="none"/>
        </w:rPr>
        <w:t>29.3 签订合同后，</w:t>
      </w:r>
      <w:r>
        <w:rPr>
          <w:rFonts w:hint="eastAsia" w:ascii="宋体" w:hAnsi="宋体" w:cs="宋体"/>
          <w:i/>
          <w:color w:val="auto"/>
          <w:highlight w:val="none"/>
          <w:u w:val="single"/>
        </w:rPr>
        <w:t>中标人不得将货物及其他相关服务进行转包</w:t>
      </w:r>
      <w:r>
        <w:rPr>
          <w:rFonts w:hint="eastAsia" w:ascii="宋体" w:hAnsi="宋体" w:cs="宋体"/>
          <w:color w:val="auto"/>
          <w:highlight w:val="none"/>
        </w:rPr>
        <w:t>。未经采购人同意，中标人也不得采用分包的形式履行合同，否则采购人有权终止合同，中标人的履约保证金将不予退还。转包或分包造成采购人损失的，中标人应承担相应赔偿责任。</w:t>
      </w:r>
    </w:p>
    <w:bookmarkEnd w:id="154"/>
    <w:bookmarkEnd w:id="155"/>
    <w:bookmarkEnd w:id="156"/>
    <w:p>
      <w:pPr>
        <w:pStyle w:val="25"/>
        <w:widowControl/>
        <w:spacing w:before="0" w:after="0"/>
        <w:rPr>
          <w:rFonts w:hint="eastAsia" w:ascii="宋体" w:hAnsi="宋体" w:cs="宋体"/>
          <w:b/>
          <w:color w:val="auto"/>
          <w:highlight w:val="none"/>
        </w:rPr>
      </w:pPr>
      <w:bookmarkStart w:id="157" w:name="_Toc517190889"/>
      <w:r>
        <w:rPr>
          <w:rFonts w:hint="eastAsia" w:ascii="宋体" w:hAnsi="宋体" w:cs="宋体"/>
          <w:b/>
          <w:color w:val="auto"/>
          <w:highlight w:val="none"/>
        </w:rPr>
        <w:t>八、其他</w:t>
      </w:r>
      <w:bookmarkEnd w:id="157"/>
    </w:p>
    <w:p>
      <w:pPr>
        <w:pStyle w:val="25"/>
        <w:widowControl/>
        <w:spacing w:before="0" w:after="0"/>
        <w:rPr>
          <w:rFonts w:hint="eastAsia" w:ascii="宋体" w:hAnsi="宋体" w:cs="宋体"/>
          <w:b/>
          <w:color w:val="auto"/>
          <w:highlight w:val="none"/>
        </w:rPr>
      </w:pPr>
      <w:r>
        <w:rPr>
          <w:rFonts w:hint="eastAsia" w:ascii="宋体" w:hAnsi="宋体" w:cs="宋体"/>
          <w:b/>
          <w:color w:val="auto"/>
          <w:highlight w:val="none"/>
        </w:rPr>
        <w:t>30、样品</w:t>
      </w:r>
    </w:p>
    <w:p>
      <w:pPr>
        <w:pStyle w:val="25"/>
        <w:widowControl/>
        <w:spacing w:before="0" w:after="0"/>
        <w:rPr>
          <w:rFonts w:hint="eastAsia" w:ascii="宋体" w:hAnsi="宋体" w:cs="宋体"/>
          <w:bCs/>
          <w:color w:val="auto"/>
          <w:highlight w:val="none"/>
        </w:rPr>
      </w:pPr>
      <w:r>
        <w:rPr>
          <w:rFonts w:hint="eastAsia" w:ascii="宋体" w:hAnsi="宋体" w:cs="宋体"/>
          <w:bCs/>
          <w:color w:val="auto"/>
          <w:highlight w:val="none"/>
        </w:rPr>
        <w:t>项目要求提供样品的，中标人的样品由采购人负责保管、封存，并作为履约验收的参考，未中标人的样品将及时退还。</w:t>
      </w:r>
    </w:p>
    <w:p>
      <w:pPr>
        <w:pStyle w:val="25"/>
        <w:widowControl/>
        <w:spacing w:before="0" w:after="0"/>
        <w:rPr>
          <w:rFonts w:ascii="宋体" w:hAnsi="宋体" w:cs="宋体"/>
          <w:bCs/>
          <w:color w:val="auto"/>
          <w:highlight w:val="none"/>
        </w:rPr>
      </w:pPr>
      <w:r>
        <w:rPr>
          <w:rFonts w:hint="eastAsia" w:ascii="宋体" w:hAnsi="宋体" w:cs="宋体"/>
          <w:bCs/>
          <w:color w:val="auto"/>
          <w:highlight w:val="none"/>
        </w:rPr>
        <w:t>未中标人自通知之日起一个月内未撤回样品，采购人可自行处理，后果自负。</w:t>
      </w:r>
    </w:p>
    <w:p>
      <w:pPr>
        <w:pStyle w:val="25"/>
        <w:widowControl/>
        <w:spacing w:before="0" w:after="0"/>
        <w:rPr>
          <w:rFonts w:hint="eastAsia" w:ascii="宋体" w:hAnsi="宋体" w:cs="宋体"/>
          <w:b/>
          <w:bCs/>
          <w:color w:val="auto"/>
          <w:highlight w:val="none"/>
        </w:rPr>
      </w:pPr>
      <w:bookmarkStart w:id="158" w:name="_Hlk100320165"/>
      <w:r>
        <w:rPr>
          <w:rFonts w:hint="eastAsia" w:ascii="宋体" w:hAnsi="宋体" w:cs="宋体"/>
          <w:b/>
          <w:bCs/>
          <w:color w:val="auto"/>
          <w:highlight w:val="none"/>
        </w:rPr>
        <w:t>3</w:t>
      </w:r>
      <w:r>
        <w:rPr>
          <w:rFonts w:ascii="宋体" w:hAnsi="宋体" w:cs="宋体"/>
          <w:b/>
          <w:bCs/>
          <w:color w:val="auto"/>
          <w:highlight w:val="none"/>
        </w:rPr>
        <w:t>1</w:t>
      </w:r>
      <w:r>
        <w:rPr>
          <w:rFonts w:hint="eastAsia" w:ascii="宋体" w:hAnsi="宋体" w:cs="宋体"/>
          <w:b/>
          <w:bCs/>
          <w:color w:val="auto"/>
          <w:highlight w:val="none"/>
        </w:rPr>
        <w:t>、本项目由江苏省设备成套股份有限公司进行政府采购库内专家抽取、开评标事宜。</w:t>
      </w:r>
    </w:p>
    <w:bookmarkEnd w:id="158"/>
    <w:p>
      <w:pPr>
        <w:pStyle w:val="3"/>
        <w:keepNext w:val="0"/>
        <w:pageBreakBefore/>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第三章   </w:t>
      </w:r>
      <w:bookmarkStart w:id="159" w:name="_Toc523931347"/>
      <w:r>
        <w:rPr>
          <w:rFonts w:hint="eastAsia" w:ascii="宋体" w:hAnsi="宋体" w:eastAsia="宋体" w:cs="宋体"/>
          <w:b/>
          <w:color w:val="auto"/>
          <w:sz w:val="44"/>
          <w:szCs w:val="44"/>
          <w:highlight w:val="none"/>
        </w:rPr>
        <w:t>项目需求</w:t>
      </w:r>
      <w:bookmarkEnd w:id="159"/>
    </w:p>
    <w:p>
      <w:pPr>
        <w:spacing w:after="0" w:line="360" w:lineRule="auto"/>
        <w:rPr>
          <w:rFonts w:ascii="宋体" w:hAnsi="宋体" w:eastAsia="宋体"/>
          <w:b/>
          <w:bCs/>
          <w:color w:val="auto"/>
          <w:sz w:val="24"/>
          <w:szCs w:val="24"/>
          <w:highlight w:val="none"/>
        </w:rPr>
      </w:pPr>
    </w:p>
    <w:p>
      <w:pPr>
        <w:spacing w:after="0"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一、设备总体需求：</w:t>
      </w:r>
    </w:p>
    <w:p>
      <w:pPr>
        <w:spacing w:after="0"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kern w:val="2"/>
          <w:sz w:val="24"/>
          <w:szCs w:val="24"/>
          <w:highlight w:val="none"/>
        </w:rPr>
        <w:t>南京医科大学</w:t>
      </w:r>
      <w:r>
        <w:rPr>
          <w:rFonts w:hint="eastAsia" w:ascii="宋体" w:hAnsi="宋体" w:eastAsia="宋体"/>
          <w:color w:val="auto"/>
          <w:sz w:val="24"/>
          <w:szCs w:val="24"/>
          <w:highlight w:val="none"/>
        </w:rPr>
        <w:t>江宁校区博学楼A面多媒体教室</w:t>
      </w:r>
      <w:r>
        <w:rPr>
          <w:rFonts w:hint="eastAsia" w:ascii="宋体" w:hAnsi="宋体" w:eastAsia="宋体"/>
          <w:color w:val="auto"/>
          <w:sz w:val="24"/>
          <w:szCs w:val="24"/>
          <w:highlight w:val="none"/>
        </w:rPr>
        <w:t>吊装麦克风和数字音频处理器</w:t>
      </w:r>
      <w:r>
        <w:rPr>
          <w:rFonts w:hint="eastAsia" w:ascii="宋体" w:hAnsi="宋体" w:eastAsia="宋体"/>
          <w:color w:val="auto"/>
          <w:sz w:val="24"/>
          <w:szCs w:val="24"/>
          <w:highlight w:val="none"/>
        </w:rPr>
        <w:t>。</w:t>
      </w:r>
    </w:p>
    <w:p>
      <w:pPr>
        <w:spacing w:after="0"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二、设备指标要求：</w:t>
      </w:r>
    </w:p>
    <w:p>
      <w:pPr>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吊装麦克风和数字音频处理器需收声灵敏度高，教师可在教室前部随意走动扩声清晰无杂音，数字音频处理器需有音频输出端口能连接外部设备。</w:t>
      </w:r>
    </w:p>
    <w:p>
      <w:pPr>
        <w:spacing w:after="0" w:line="360" w:lineRule="auto"/>
        <w:contextualSpacing/>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三、</w:t>
      </w:r>
      <w:r>
        <w:rPr>
          <w:rFonts w:hint="eastAsia" w:ascii="宋体" w:hAnsi="宋体" w:eastAsia="宋体"/>
          <w:b/>
          <w:color w:val="auto"/>
          <w:sz w:val="24"/>
          <w:szCs w:val="24"/>
          <w:highlight w:val="none"/>
        </w:rPr>
        <w:t>吊装麦克风和数字音频处理器</w:t>
      </w:r>
      <w:r>
        <w:rPr>
          <w:rFonts w:hint="eastAsia" w:ascii="宋体" w:hAnsi="宋体" w:eastAsia="宋体"/>
          <w:b/>
          <w:bCs/>
          <w:color w:val="auto"/>
          <w:sz w:val="24"/>
          <w:szCs w:val="24"/>
          <w:highlight w:val="none"/>
        </w:rPr>
        <w:t>技术参数：</w:t>
      </w:r>
      <w:r>
        <w:rPr>
          <w:rFonts w:ascii="宋体" w:hAnsi="宋体" w:eastAsia="宋体"/>
          <w:b/>
          <w:bCs/>
          <w:color w:val="auto"/>
          <w:sz w:val="24"/>
          <w:szCs w:val="24"/>
          <w:highlight w:val="none"/>
        </w:rPr>
        <w:t xml:space="preserve"> </w:t>
      </w:r>
    </w:p>
    <w:tbl>
      <w:tblPr>
        <w:tblStyle w:val="20"/>
        <w:tblpPr w:leftFromText="180" w:rightFromText="180" w:vertAnchor="text" w:horzAnchor="page" w:tblpX="1675" w:tblpY="451"/>
        <w:tblOverlap w:val="never"/>
        <w:tblW w:w="8872" w:type="dxa"/>
        <w:tblInd w:w="0" w:type="dxa"/>
        <w:tblLayout w:type="fixed"/>
        <w:tblCellMar>
          <w:top w:w="0" w:type="dxa"/>
          <w:left w:w="108" w:type="dxa"/>
          <w:bottom w:w="0" w:type="dxa"/>
          <w:right w:w="108" w:type="dxa"/>
        </w:tblCellMar>
      </w:tblPr>
      <w:tblGrid>
        <w:gridCol w:w="817"/>
        <w:gridCol w:w="851"/>
        <w:gridCol w:w="5670"/>
        <w:gridCol w:w="700"/>
        <w:gridCol w:w="834"/>
      </w:tblGrid>
      <w:tr>
        <w:tblPrEx>
          <w:tblCellMar>
            <w:top w:w="0" w:type="dxa"/>
            <w:left w:w="108" w:type="dxa"/>
            <w:bottom w:w="0" w:type="dxa"/>
            <w:right w:w="108" w:type="dxa"/>
          </w:tblCellMar>
        </w:tblPrEx>
        <w:trPr>
          <w:trHeight w:val="552"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adjustRightInd/>
              <w:snapToGrid/>
              <w:spacing w:after="0"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51" w:type="dxa"/>
            <w:tcBorders>
              <w:top w:val="single" w:color="auto" w:sz="4" w:space="0"/>
              <w:left w:val="nil"/>
              <w:bottom w:val="single" w:color="auto" w:sz="4" w:space="0"/>
              <w:right w:val="single" w:color="auto" w:sz="4" w:space="0"/>
            </w:tcBorders>
            <w:noWrap/>
            <w:vAlign w:val="center"/>
          </w:tcPr>
          <w:p>
            <w:pPr>
              <w:adjustRightInd/>
              <w:snapToGrid/>
              <w:spacing w:after="0"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品名</w:t>
            </w:r>
          </w:p>
        </w:tc>
        <w:tc>
          <w:tcPr>
            <w:tcW w:w="5670" w:type="dxa"/>
            <w:tcBorders>
              <w:top w:val="single" w:color="auto" w:sz="4" w:space="0"/>
              <w:left w:val="nil"/>
              <w:bottom w:val="single" w:color="auto" w:sz="4" w:space="0"/>
              <w:right w:val="single" w:color="auto" w:sz="4" w:space="0"/>
            </w:tcBorders>
            <w:noWrap/>
            <w:vAlign w:val="center"/>
          </w:tcPr>
          <w:p>
            <w:pPr>
              <w:adjustRightInd/>
              <w:snapToGrid/>
              <w:spacing w:after="0"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技术参数及功能描述</w:t>
            </w:r>
          </w:p>
        </w:tc>
        <w:tc>
          <w:tcPr>
            <w:tcW w:w="700" w:type="dxa"/>
            <w:tcBorders>
              <w:top w:val="single" w:color="auto" w:sz="4" w:space="0"/>
              <w:left w:val="nil"/>
              <w:bottom w:val="single" w:color="auto" w:sz="4" w:space="0"/>
              <w:right w:val="single" w:color="auto" w:sz="4" w:space="0"/>
            </w:tcBorders>
            <w:noWrap/>
            <w:vAlign w:val="center"/>
          </w:tcPr>
          <w:p>
            <w:pPr>
              <w:adjustRightInd/>
              <w:snapToGrid/>
              <w:spacing w:after="0"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834" w:type="dxa"/>
            <w:tcBorders>
              <w:top w:val="single" w:color="auto" w:sz="4" w:space="0"/>
              <w:left w:val="nil"/>
              <w:bottom w:val="single" w:color="auto" w:sz="4" w:space="0"/>
              <w:right w:val="single" w:color="auto" w:sz="4" w:space="0"/>
            </w:tcBorders>
            <w:noWrap/>
            <w:vAlign w:val="center"/>
          </w:tcPr>
          <w:p>
            <w:pPr>
              <w:adjustRightInd/>
              <w:snapToGrid/>
              <w:spacing w:after="0"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r>
      <w:tr>
        <w:tblPrEx>
          <w:tblCellMar>
            <w:top w:w="0" w:type="dxa"/>
            <w:left w:w="108" w:type="dxa"/>
            <w:bottom w:w="0" w:type="dxa"/>
            <w:right w:w="108" w:type="dxa"/>
          </w:tblCellMar>
        </w:tblPrEx>
        <w:trPr>
          <w:trHeight w:val="3875"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spacing w:after="0" w:line="36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1</w:t>
            </w:r>
          </w:p>
        </w:tc>
        <w:tc>
          <w:tcPr>
            <w:tcW w:w="851" w:type="dxa"/>
            <w:tcBorders>
              <w:top w:val="nil"/>
              <w:left w:val="nil"/>
              <w:bottom w:val="single" w:color="auto" w:sz="4" w:space="0"/>
              <w:right w:val="single" w:color="auto" w:sz="4" w:space="0"/>
            </w:tcBorders>
            <w:shd w:val="clear" w:color="000000" w:fill="FFFFFF"/>
            <w:noWrap/>
            <w:vAlign w:val="center"/>
          </w:tcPr>
          <w:p>
            <w:pPr>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吊装麦克风</w:t>
            </w:r>
          </w:p>
        </w:tc>
        <w:tc>
          <w:tcPr>
            <w:tcW w:w="5670" w:type="dxa"/>
            <w:tcBorders>
              <w:top w:val="nil"/>
              <w:left w:val="nil"/>
              <w:bottom w:val="single" w:color="auto" w:sz="4" w:space="0"/>
              <w:right w:val="single" w:color="auto" w:sz="4" w:space="0"/>
            </w:tcBorders>
            <w:shd w:val="clear" w:color="000000" w:fill="FFFFFF"/>
            <w:noWrap w:val="0"/>
            <w:vAlign w:val="center"/>
          </w:tcPr>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1、话筒的干涉管和振膜都经过特别设计，对于外部噪声有很好的抑制效果，使用时不易发生啸叫反馈。</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2、产品抗手机等电磁脉冲干扰。</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3、平衡输出，48V幻象平衡供电。</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4、保真度、语音辨识度高。</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性能参数：</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1、频率响应：40Hz～18KHz；</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2、灵敏度：-48dB（18mV/Pa）；</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3、输出阻抗：200Ω；</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4、工作电压：48VDC；</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5、信噪比：≥80dB；</w:t>
            </w:r>
          </w:p>
          <w:p>
            <w:pPr>
              <w:adjustRightInd/>
              <w:snapToGrid/>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6、供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电：48V平衡幻象</w:t>
            </w:r>
          </w:p>
        </w:tc>
        <w:tc>
          <w:tcPr>
            <w:tcW w:w="700" w:type="dxa"/>
            <w:tcBorders>
              <w:top w:val="nil"/>
              <w:left w:val="nil"/>
              <w:bottom w:val="single" w:color="auto" w:sz="4" w:space="0"/>
              <w:right w:val="single" w:color="auto" w:sz="4" w:space="0"/>
            </w:tcBorders>
            <w:shd w:val="clear" w:color="000000" w:fill="FFFFFF"/>
            <w:noWrap/>
            <w:vAlign w:val="center"/>
          </w:tcPr>
          <w:p>
            <w:pPr>
              <w:spacing w:after="0" w:line="360" w:lineRule="auto"/>
              <w:jc w:val="center"/>
              <w:rPr>
                <w:rFonts w:ascii="宋体" w:hAnsi="宋体"/>
                <w:color w:val="auto"/>
                <w:sz w:val="24"/>
                <w:szCs w:val="24"/>
                <w:highlight w:val="none"/>
              </w:rPr>
            </w:pPr>
            <w:r>
              <w:rPr>
                <w:rFonts w:hint="eastAsia" w:ascii="宋体" w:hAnsi="宋体"/>
                <w:color w:val="auto"/>
                <w:sz w:val="24"/>
                <w:szCs w:val="24"/>
                <w:highlight w:val="none"/>
              </w:rPr>
              <w:t>24</w:t>
            </w:r>
          </w:p>
        </w:tc>
        <w:tc>
          <w:tcPr>
            <w:tcW w:w="834" w:type="dxa"/>
            <w:tcBorders>
              <w:top w:val="nil"/>
              <w:left w:val="nil"/>
              <w:bottom w:val="single" w:color="auto" w:sz="4" w:space="0"/>
              <w:right w:val="single" w:color="auto" w:sz="4" w:space="0"/>
            </w:tcBorders>
            <w:shd w:val="clear" w:color="000000" w:fill="FFFFFF"/>
            <w:noWrap/>
            <w:vAlign w:val="center"/>
          </w:tcPr>
          <w:p>
            <w:pPr>
              <w:spacing w:after="0" w:line="360" w:lineRule="auto"/>
              <w:ind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只</w:t>
            </w:r>
          </w:p>
        </w:tc>
      </w:tr>
      <w:tr>
        <w:tblPrEx>
          <w:tblCellMar>
            <w:top w:w="0" w:type="dxa"/>
            <w:left w:w="108" w:type="dxa"/>
            <w:bottom w:w="0" w:type="dxa"/>
            <w:right w:w="108" w:type="dxa"/>
          </w:tblCellMar>
        </w:tblPrEx>
        <w:trPr>
          <w:trHeight w:val="1691" w:hRule="atLeast"/>
        </w:trPr>
        <w:tc>
          <w:tcPr>
            <w:tcW w:w="817" w:type="dxa"/>
            <w:tcBorders>
              <w:top w:val="nil"/>
              <w:left w:val="single" w:color="auto" w:sz="4" w:space="0"/>
              <w:bottom w:val="single" w:color="auto" w:sz="4" w:space="0"/>
              <w:right w:val="single" w:color="auto" w:sz="4" w:space="0"/>
            </w:tcBorders>
            <w:shd w:val="clear" w:color="000000" w:fill="FFFFFF"/>
            <w:noWrap/>
            <w:vAlign w:val="center"/>
          </w:tcPr>
          <w:p>
            <w:pPr>
              <w:spacing w:after="0" w:line="36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2</w:t>
            </w:r>
          </w:p>
        </w:tc>
        <w:tc>
          <w:tcPr>
            <w:tcW w:w="851" w:type="dxa"/>
            <w:tcBorders>
              <w:top w:val="nil"/>
              <w:left w:val="nil"/>
              <w:bottom w:val="single" w:color="auto" w:sz="4" w:space="0"/>
              <w:right w:val="single" w:color="auto" w:sz="4" w:space="0"/>
            </w:tcBorders>
            <w:shd w:val="clear" w:color="000000" w:fill="FFFFFF"/>
            <w:noWrap/>
            <w:vAlign w:val="center"/>
          </w:tcPr>
          <w:p>
            <w:pPr>
              <w:spacing w:after="0" w:line="3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数字音频处理器</w:t>
            </w:r>
          </w:p>
        </w:tc>
        <w:tc>
          <w:tcPr>
            <w:tcW w:w="5670" w:type="dxa"/>
            <w:tcBorders>
              <w:top w:val="nil"/>
              <w:left w:val="nil"/>
              <w:bottom w:val="single" w:color="auto" w:sz="4" w:space="0"/>
              <w:right w:val="single" w:color="auto" w:sz="4" w:space="0"/>
            </w:tcBorders>
            <w:shd w:val="clear" w:color="000000" w:fill="FFFFFF"/>
            <w:noWrap w:val="0"/>
            <w:vAlign w:val="center"/>
          </w:tcPr>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1、外观：机器≥1.5U标准机架式，前面板除开关外不含任何旋钮；</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▲2、接口要求：≥4路凤凰状话筒，≥2路6.5话筒输入，≥3路线路输入，≥3路线路输出,话筒前四路自带48V供电，第五路路带5V供电;（提供具有CNAS标识的第三方出具的检测报告复印件加盖原厂公章）</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3、支持232接口控制，可实现软件控制、可控展网络接口，带静音控制口；</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4、优先机制: 支持无线话筒、鹅颈话筒优先机制;                                                                                                                   </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5、话筒非线性失真：≤0.5%；</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6、线额定输入电压：不平衡式话筒输入（低阻600Ω）：10mV；线路输入：300mV；功率放大输出：≥2X150W，定阻4-8Ω；</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7、额定输入阻抗：话筒输入： 3KΩ；线路输入：10KΩ；</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8、频率响应：20—20KHZ（+0.5dB)；</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▲9、反馈抑制（AFC）：传声增益提升幅度≥22dB；（提供具有CNAS标识的第三方出具的检测报告复印件加盖原厂公章）；</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10、回声消除（AEC）：回声消除尾音长度：≥520ms;回声消除幅度：≥75dB;收敛速度：≥70dB/s；</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11、信噪比（S/N)：≥110dB；</w:t>
            </w:r>
          </w:p>
          <w:p>
            <w:pPr>
              <w:adjustRightInd/>
              <w:snapToGrid/>
              <w:spacing w:after="0" w:line="360" w:lineRule="exact"/>
              <w:jc w:val="both"/>
              <w:rPr>
                <w:rFonts w:ascii="宋体" w:hAnsi="宋体" w:eastAsia="宋体"/>
                <w:color w:val="auto"/>
                <w:sz w:val="24"/>
                <w:szCs w:val="24"/>
                <w:highlight w:val="none"/>
              </w:rPr>
            </w:pPr>
            <w:r>
              <w:rPr>
                <w:rFonts w:hint="eastAsia" w:ascii="宋体" w:hAnsi="宋体" w:eastAsia="宋体"/>
                <w:color w:val="auto"/>
                <w:sz w:val="24"/>
                <w:szCs w:val="24"/>
                <w:highlight w:val="none"/>
              </w:rPr>
              <w:t>▲12、为保障数字音频处理功率放大器的稳定，提供所投数字音频处理功率放大器整机平均无故障检测时间MTBF≥100000小时（提供具有CNAS标识的第三方出具的检测报告复印件加盖原厂公章）</w:t>
            </w:r>
          </w:p>
        </w:tc>
        <w:tc>
          <w:tcPr>
            <w:tcW w:w="700" w:type="dxa"/>
            <w:tcBorders>
              <w:top w:val="nil"/>
              <w:left w:val="nil"/>
              <w:bottom w:val="single" w:color="auto" w:sz="4" w:space="0"/>
              <w:right w:val="single" w:color="auto" w:sz="4" w:space="0"/>
            </w:tcBorders>
            <w:shd w:val="clear" w:color="000000" w:fill="FFFFFF"/>
            <w:noWrap/>
            <w:vAlign w:val="center"/>
          </w:tcPr>
          <w:p>
            <w:pPr>
              <w:spacing w:after="0" w:line="360" w:lineRule="auto"/>
              <w:jc w:val="center"/>
              <w:rPr>
                <w:rFonts w:ascii="宋体" w:hAnsi="宋体"/>
                <w:color w:val="auto"/>
                <w:sz w:val="24"/>
                <w:szCs w:val="24"/>
                <w:highlight w:val="none"/>
              </w:rPr>
            </w:pPr>
            <w:r>
              <w:rPr>
                <w:rFonts w:hint="eastAsia" w:ascii="宋体" w:hAnsi="宋体"/>
                <w:color w:val="auto"/>
                <w:sz w:val="24"/>
                <w:szCs w:val="24"/>
                <w:highlight w:val="none"/>
              </w:rPr>
              <w:t>24</w:t>
            </w:r>
          </w:p>
        </w:tc>
        <w:tc>
          <w:tcPr>
            <w:tcW w:w="834" w:type="dxa"/>
            <w:tcBorders>
              <w:top w:val="nil"/>
              <w:left w:val="nil"/>
              <w:bottom w:val="single" w:color="auto" w:sz="4" w:space="0"/>
              <w:right w:val="single" w:color="auto" w:sz="4" w:space="0"/>
            </w:tcBorders>
            <w:shd w:val="clear" w:color="000000" w:fill="FFFFFF"/>
            <w:noWrap/>
            <w:vAlign w:val="center"/>
          </w:tcPr>
          <w:p>
            <w:pPr>
              <w:spacing w:after="0" w:line="360" w:lineRule="auto"/>
              <w:ind w:firstLine="120" w:firstLineChars="50"/>
              <w:rPr>
                <w:rFonts w:ascii="宋体" w:hAnsi="宋体" w:eastAsia="宋体"/>
                <w:color w:val="auto"/>
                <w:sz w:val="24"/>
                <w:szCs w:val="24"/>
                <w:highlight w:val="none"/>
              </w:rPr>
            </w:pPr>
            <w:r>
              <w:rPr>
                <w:rFonts w:hint="eastAsia" w:ascii="宋体" w:hAnsi="宋体" w:eastAsia="宋体"/>
                <w:color w:val="auto"/>
                <w:sz w:val="24"/>
                <w:szCs w:val="24"/>
                <w:highlight w:val="none"/>
              </w:rPr>
              <w:t>台</w:t>
            </w:r>
          </w:p>
        </w:tc>
      </w:tr>
    </w:tbl>
    <w:p>
      <w:pPr>
        <w:spacing w:after="0" w:line="360" w:lineRule="auto"/>
        <w:rPr>
          <w:rFonts w:ascii="宋体" w:hAnsi="宋体" w:eastAsia="宋体"/>
          <w:b/>
          <w:bCs/>
          <w:color w:val="auto"/>
          <w:sz w:val="24"/>
          <w:szCs w:val="24"/>
          <w:highlight w:val="none"/>
        </w:rPr>
      </w:pPr>
    </w:p>
    <w:p>
      <w:pPr>
        <w:spacing w:after="0"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四、服务要求</w:t>
      </w:r>
    </w:p>
    <w:p>
      <w:pPr>
        <w:spacing w:after="0" w:line="360" w:lineRule="auto"/>
        <w:ind w:firstLine="480" w:firstLineChars="200"/>
        <w:jc w:val="both"/>
        <w:rPr>
          <w:rFonts w:ascii="宋体" w:hAnsi="宋体" w:eastAsia="宋体"/>
          <w:b/>
          <w:bCs/>
          <w:color w:val="auto"/>
          <w:sz w:val="24"/>
          <w:szCs w:val="24"/>
          <w:highlight w:val="none"/>
        </w:rPr>
      </w:pPr>
      <w:r>
        <w:rPr>
          <w:rFonts w:hint="eastAsia" w:ascii="宋体" w:hAnsi="宋体" w:eastAsia="宋体"/>
          <w:color w:val="auto"/>
          <w:kern w:val="2"/>
          <w:sz w:val="24"/>
          <w:szCs w:val="24"/>
          <w:highlight w:val="none"/>
        </w:rPr>
        <w:t>1、保修期：原厂质保3年（请投标方提供</w:t>
      </w:r>
      <w:r>
        <w:rPr>
          <w:rFonts w:hint="eastAsia" w:ascii="宋体" w:hAnsi="宋体" w:eastAsia="宋体"/>
          <w:color w:val="auto"/>
          <w:kern w:val="2"/>
          <w:sz w:val="24"/>
          <w:szCs w:val="24"/>
          <w:highlight w:val="none"/>
        </w:rPr>
        <w:t>吊装麦克风和数字音频处理器</w:t>
      </w:r>
      <w:r>
        <w:rPr>
          <w:rFonts w:hint="eastAsia" w:ascii="宋体" w:hAnsi="宋体" w:eastAsia="宋体"/>
          <w:color w:val="auto"/>
          <w:kern w:val="2"/>
          <w:sz w:val="24"/>
          <w:szCs w:val="24"/>
          <w:highlight w:val="none"/>
        </w:rPr>
        <w:t>的原厂质保函）保修期内，卖方负责免费对其提供的</w:t>
      </w:r>
      <w:r>
        <w:rPr>
          <w:rFonts w:hint="eastAsia" w:ascii="宋体" w:hAnsi="宋体" w:eastAsia="宋体"/>
          <w:color w:val="auto"/>
          <w:kern w:val="2"/>
          <w:sz w:val="24"/>
          <w:szCs w:val="24"/>
          <w:highlight w:val="none"/>
        </w:rPr>
        <w:t>吊麦扩声数字音频处理器</w:t>
      </w:r>
      <w:r>
        <w:rPr>
          <w:rFonts w:hint="eastAsia" w:ascii="宋体" w:hAnsi="宋体" w:eastAsia="宋体"/>
          <w:color w:val="auto"/>
          <w:kern w:val="2"/>
          <w:sz w:val="24"/>
          <w:szCs w:val="24"/>
          <w:highlight w:val="none"/>
        </w:rPr>
        <w:t>维修如有部件损坏</w:t>
      </w:r>
      <w:r>
        <w:rPr>
          <w:rFonts w:hint="eastAsia" w:ascii="宋体" w:hAnsi="宋体" w:eastAsia="宋体" w:cs="宋体"/>
          <w:color w:val="auto"/>
          <w:kern w:val="2"/>
          <w:sz w:val="24"/>
          <w:szCs w:val="24"/>
          <w:highlight w:val="none"/>
        </w:rPr>
        <w:t>，必须更换为全新部件，不收取额外费用。质保期内必要的易损件更换不收取任何费用。在保修期内，出现质量问题时或故障时，响应时间为2小时，如现场不能解决的故障要带出维修需提供备用机。质保期满后负责上门维修，设备故障报修后24小时内响应，质保期满后继续提供维修服务，按照当时市场价的50%收取维修费用。</w:t>
      </w:r>
    </w:p>
    <w:p>
      <w:pPr>
        <w:spacing w:after="0"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五、安装要求</w:t>
      </w:r>
    </w:p>
    <w:p>
      <w:pPr>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1、按照国家现行行业规范标准进行安装，符合国家或行业质量检验评定标准，没有行业标准的产品，投标人应提供相关制造商标准。</w:t>
      </w:r>
    </w:p>
    <w:p>
      <w:pPr>
        <w:spacing w:after="0" w:line="360"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2、设备安装调试：仪器到货后，卖方在接到通知的7个工作日内派人前往负责该设备的安装、调试和操作培训，直至达到各项验收指标合格。</w:t>
      </w:r>
    </w:p>
    <w:p>
      <w:pPr>
        <w:spacing w:after="0"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六、</w:t>
      </w:r>
      <w:r>
        <w:rPr>
          <w:rFonts w:ascii="宋体" w:hAnsi="宋体" w:eastAsia="宋体"/>
          <w:b/>
          <w:bCs/>
          <w:color w:val="auto"/>
          <w:sz w:val="24"/>
          <w:szCs w:val="24"/>
          <w:highlight w:val="none"/>
        </w:rPr>
        <w:t>交货期、交货方式及交货地点</w:t>
      </w:r>
    </w:p>
    <w:p>
      <w:pPr>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交货期：</w:t>
      </w:r>
      <w:r>
        <w:rPr>
          <w:rFonts w:hint="eastAsia" w:ascii="宋体" w:hAnsi="宋体" w:eastAsia="宋体"/>
          <w:bCs/>
          <w:color w:val="auto"/>
          <w:sz w:val="24"/>
          <w:szCs w:val="24"/>
          <w:highlight w:val="none"/>
        </w:rPr>
        <w:t>合同签订生效后，进口设备（免税）三个月内、国产设备及进口设备（非免税）一个月内全部设备、材料运抵现场，并安装、调试结束，验收合格，交付买方使用。</w:t>
      </w:r>
    </w:p>
    <w:p>
      <w:pPr>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交货方式：</w:t>
      </w:r>
      <w:r>
        <w:rPr>
          <w:rFonts w:hint="eastAsia" w:ascii="宋体" w:hAnsi="宋体" w:eastAsia="宋体"/>
          <w:bCs/>
          <w:color w:val="auto"/>
          <w:sz w:val="24"/>
          <w:szCs w:val="24"/>
          <w:highlight w:val="none"/>
        </w:rPr>
        <w:t>中标人在买方指定地点交货，并完成安装、调试。</w:t>
      </w:r>
    </w:p>
    <w:p>
      <w:pPr>
        <w:spacing w:after="0"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w:t>
      </w:r>
      <w:r>
        <w:rPr>
          <w:rFonts w:ascii="宋体" w:hAnsi="宋体" w:eastAsia="宋体"/>
          <w:bCs/>
          <w:color w:val="auto"/>
          <w:sz w:val="24"/>
          <w:szCs w:val="24"/>
          <w:highlight w:val="none"/>
        </w:rPr>
        <w:t>交货地点：</w:t>
      </w:r>
      <w:r>
        <w:rPr>
          <w:rFonts w:hint="eastAsia" w:ascii="宋体" w:hAnsi="宋体" w:eastAsia="宋体"/>
          <w:bCs/>
          <w:color w:val="auto"/>
          <w:sz w:val="24"/>
          <w:szCs w:val="24"/>
          <w:highlight w:val="none"/>
        </w:rPr>
        <w:t>南京医科大学。</w:t>
      </w:r>
    </w:p>
    <w:p>
      <w:pPr>
        <w:adjustRightInd/>
        <w:snapToGrid/>
        <w:spacing w:after="0" w:line="360"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4、交付使用要同时向采购人提供详细的技术文件、安装记录等，同时提供两份产品使用说明书。</w:t>
      </w:r>
    </w:p>
    <w:p>
      <w:pPr>
        <w:adjustRightInd/>
        <w:snapToGrid/>
        <w:spacing w:after="0"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七、其他技术服务需求：</w:t>
      </w:r>
    </w:p>
    <w:p>
      <w:pPr>
        <w:adjustRightInd/>
        <w:snapToGrid/>
        <w:spacing w:after="0" w:line="360" w:lineRule="auto"/>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1、投标人须保证本次投标产品系优质材料和先进工艺制成新出厂的产品，且完全与投标文件所述相符。</w:t>
      </w:r>
    </w:p>
    <w:p>
      <w:pPr>
        <w:spacing w:after="0" w:line="360" w:lineRule="auto"/>
        <w:ind w:firstLine="480" w:firstLineChars="200"/>
        <w:rPr>
          <w:rFonts w:ascii="宋体" w:hAnsi="宋体" w:eastAsia="宋体" w:cs="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交付使用前发生的产品硬件损坏和不合格，一律退换新品。在质保期开始前三个月内，若发生产品损坏和性能不合格（非使用不当原因造成），除采购人同意修理者外，亦应退换新品。</w:t>
      </w:r>
    </w:p>
    <w:p>
      <w:pPr>
        <w:spacing w:after="0"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八、</w:t>
      </w:r>
      <w:r>
        <w:rPr>
          <w:rFonts w:ascii="宋体" w:hAnsi="宋体" w:eastAsia="宋体"/>
          <w:b/>
          <w:bCs/>
          <w:color w:val="auto"/>
          <w:sz w:val="24"/>
          <w:szCs w:val="24"/>
          <w:highlight w:val="none"/>
        </w:rPr>
        <w:t>货款支付</w:t>
      </w:r>
    </w:p>
    <w:p>
      <w:pPr>
        <w:spacing w:after="0" w:line="360" w:lineRule="auto"/>
        <w:ind w:firstLine="72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货到安装后以30天为验收期限，验收合格支付90%货款，一年后支付</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%尾款（无息），</w:t>
      </w:r>
      <w:r>
        <w:rPr>
          <w:rFonts w:hint="eastAsia" w:ascii="宋体" w:hAnsi="宋体" w:eastAsia="宋体" w:cs="宋体"/>
          <w:color w:val="auto"/>
          <w:kern w:val="2"/>
          <w:sz w:val="24"/>
          <w:szCs w:val="24"/>
          <w:highlight w:val="none"/>
          <w:lang w:val="en-US" w:eastAsia="zh-CN"/>
        </w:rPr>
        <w:t>3年质保期后付2%尾款（无息），</w:t>
      </w:r>
      <w:r>
        <w:rPr>
          <w:rFonts w:hint="eastAsia" w:ascii="宋体" w:hAnsi="宋体" w:eastAsia="宋体" w:cs="宋体"/>
          <w:color w:val="auto"/>
          <w:kern w:val="2"/>
          <w:sz w:val="24"/>
          <w:szCs w:val="24"/>
          <w:highlight w:val="none"/>
        </w:rPr>
        <w:t>付款之前需收到乙方开具的合法有效的</w:t>
      </w:r>
      <w:r>
        <w:rPr>
          <w:rFonts w:hint="eastAsia" w:ascii="宋体" w:hAnsi="宋体" w:eastAsia="宋体" w:cs="宋体"/>
          <w:b/>
          <w:bCs/>
          <w:color w:val="auto"/>
          <w:kern w:val="2"/>
          <w:sz w:val="24"/>
          <w:szCs w:val="24"/>
          <w:highlight w:val="none"/>
        </w:rPr>
        <w:t>相应全额发票。</w:t>
      </w:r>
    </w:p>
    <w:p>
      <w:pPr>
        <w:pStyle w:val="3"/>
        <w:keepNext w:val="0"/>
        <w:keepLines/>
        <w:spacing w:line="360" w:lineRule="auto"/>
        <w:ind w:firstLine="883" w:firstLineChars="200"/>
        <w:rPr>
          <w:rFonts w:hint="eastAsia" w:ascii="宋体" w:hAnsi="宋体" w:eastAsia="宋体" w:cs="宋体"/>
          <w:bCs/>
          <w:color w:val="auto"/>
          <w:sz w:val="44"/>
          <w:szCs w:val="44"/>
          <w:highlight w:val="none"/>
        </w:rPr>
      </w:pPr>
      <w:r>
        <w:rPr>
          <w:rFonts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第四章  评标方法与评标标准</w:t>
      </w:r>
    </w:p>
    <w:p>
      <w:pPr>
        <w:spacing w:after="0" w:line="360" w:lineRule="auto"/>
        <w:ind w:firstLine="482" w:firstLineChars="200"/>
        <w:rPr>
          <w:rFonts w:ascii="宋体" w:hAnsi="宋体" w:eastAsia="宋体" w:cs="宋体"/>
          <w:b/>
          <w:color w:val="auto"/>
          <w:sz w:val="24"/>
          <w:szCs w:val="24"/>
          <w:highlight w:val="none"/>
        </w:rPr>
      </w:pP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一、评标方法与定标原则</w:t>
      </w:r>
    </w:p>
    <w:p>
      <w:pPr>
        <w:pStyle w:val="25"/>
        <w:spacing w:before="0" w:after="0"/>
        <w:ind w:firstLineChars="200"/>
        <w:rPr>
          <w:rFonts w:hint="eastAsia" w:ascii="宋体" w:hAnsi="宋体" w:cs="宋体"/>
          <w:color w:val="auto"/>
          <w:highlight w:val="none"/>
        </w:rPr>
      </w:pPr>
      <w:r>
        <w:rPr>
          <w:rFonts w:hint="eastAsia" w:ascii="宋体" w:hAnsi="宋体" w:cs="宋体"/>
          <w:bCs/>
          <w:color w:val="auto"/>
          <w:highlight w:val="none"/>
        </w:rPr>
        <w:t>评委会将对确定为实质性响应招标文件要求的投标文件进行评价和比较，评标采用综合评分法。</w:t>
      </w:r>
      <w:r>
        <w:rPr>
          <w:rFonts w:hint="eastAsia" w:ascii="宋体" w:hAnsi="宋体" w:cs="宋体"/>
          <w:color w:val="auto"/>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after="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二、评标标准</w:t>
      </w:r>
    </w:p>
    <w:p>
      <w:pPr>
        <w:spacing w:after="0"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本项目采用综合评分法确定中标候选人。评标委员会将按下列评分办法和标准进行评分，总分值为100分。</w:t>
      </w:r>
    </w:p>
    <w:tbl>
      <w:tblPr>
        <w:tblStyle w:val="20"/>
        <w:tblpPr w:leftFromText="180" w:rightFromText="180" w:vertAnchor="text" w:horzAnchor="margin" w:tblpY="8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809"/>
        <w:gridCol w:w="703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trPr>
        <w:tc>
          <w:tcPr>
            <w:tcW w:w="57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7031"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ind w:firstLine="26" w:firstLineChars="11"/>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w:t>
            </w:r>
          </w:p>
        </w:tc>
        <w:tc>
          <w:tcPr>
            <w:tcW w:w="7031"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both"/>
              <w:rPr>
                <w:rFonts w:ascii="宋体" w:hAnsi="宋体" w:eastAsia="宋体" w:cs="Arial"/>
                <w:bCs/>
                <w:color w:val="auto"/>
                <w:sz w:val="24"/>
                <w:szCs w:val="24"/>
                <w:highlight w:val="none"/>
              </w:rPr>
            </w:pPr>
            <w:r>
              <w:rPr>
                <w:rFonts w:hint="eastAsia" w:ascii="宋体" w:hAnsi="宋体" w:eastAsia="宋体" w:cs="Arial"/>
                <w:bCs/>
                <w:color w:val="auto"/>
                <w:sz w:val="24"/>
                <w:szCs w:val="24"/>
                <w:highlight w:val="none"/>
              </w:rPr>
              <w:t>即满足招标文件要求且投标价格最低的投标报价为评标基准价，其价格分为满分。其他投标人的价格分统一按照下列公式计算</w:t>
            </w:r>
            <w:r>
              <w:rPr>
                <w:rFonts w:ascii="宋体" w:hAnsi="宋体" w:eastAsia="宋体" w:cs="Arial"/>
                <w:bCs/>
                <w:color w:val="auto"/>
                <w:sz w:val="24"/>
                <w:szCs w:val="24"/>
                <w:highlight w:val="none"/>
              </w:rPr>
              <w:t>:</w:t>
            </w:r>
            <w:r>
              <w:rPr>
                <w:rFonts w:hint="eastAsia" w:ascii="宋体" w:hAnsi="宋体" w:eastAsia="宋体" w:cs="Arial"/>
                <w:bCs/>
                <w:color w:val="auto"/>
                <w:sz w:val="24"/>
                <w:szCs w:val="24"/>
                <w:highlight w:val="none"/>
              </w:rPr>
              <w:t>投标报价得分</w:t>
            </w:r>
            <w:r>
              <w:rPr>
                <w:rFonts w:ascii="宋体" w:hAnsi="宋体" w:eastAsia="宋体" w:cs="Arial"/>
                <w:bCs/>
                <w:color w:val="auto"/>
                <w:sz w:val="24"/>
                <w:szCs w:val="24"/>
                <w:highlight w:val="none"/>
              </w:rPr>
              <w:t>=(</w:t>
            </w:r>
            <w:r>
              <w:rPr>
                <w:rFonts w:hint="eastAsia" w:ascii="宋体" w:hAnsi="宋体" w:eastAsia="宋体" w:cs="Arial"/>
                <w:bCs/>
                <w:color w:val="auto"/>
                <w:sz w:val="24"/>
                <w:szCs w:val="24"/>
                <w:highlight w:val="none"/>
              </w:rPr>
              <w:t>评标基准价</w:t>
            </w:r>
            <w:r>
              <w:rPr>
                <w:rFonts w:ascii="宋体" w:hAnsi="宋体" w:eastAsia="宋体" w:cs="Arial"/>
                <w:bCs/>
                <w:color w:val="auto"/>
                <w:sz w:val="24"/>
                <w:szCs w:val="24"/>
                <w:highlight w:val="none"/>
              </w:rPr>
              <w:t>/</w:t>
            </w:r>
            <w:r>
              <w:rPr>
                <w:rFonts w:hint="eastAsia" w:ascii="宋体" w:hAnsi="宋体" w:eastAsia="宋体" w:cs="Arial"/>
                <w:bCs/>
                <w:color w:val="auto"/>
                <w:sz w:val="24"/>
                <w:szCs w:val="24"/>
                <w:highlight w:val="none"/>
              </w:rPr>
              <w:t>投标报价</w:t>
            </w:r>
            <w:r>
              <w:rPr>
                <w:rFonts w:ascii="宋体" w:hAnsi="宋体" w:eastAsia="宋体" w:cs="Arial"/>
                <w:bCs/>
                <w:color w:val="auto"/>
                <w:sz w:val="24"/>
                <w:szCs w:val="24"/>
                <w:highlight w:val="none"/>
              </w:rPr>
              <w:t>)</w:t>
            </w:r>
            <w:r>
              <w:rPr>
                <w:rFonts w:hint="eastAsia" w:ascii="宋体" w:hAnsi="宋体" w:eastAsia="宋体" w:cs="Arial"/>
                <w:bCs/>
                <w:color w:val="auto"/>
                <w:sz w:val="24"/>
                <w:szCs w:val="24"/>
                <w:highlight w:val="none"/>
              </w:rPr>
              <w:t>×</w:t>
            </w:r>
            <w:r>
              <w:rPr>
                <w:rFonts w:ascii="宋体" w:hAnsi="宋体" w:eastAsia="宋体" w:cs="Arial"/>
                <w:bCs/>
                <w:color w:val="auto"/>
                <w:sz w:val="24"/>
                <w:szCs w:val="24"/>
                <w:highlight w:val="none"/>
              </w:rPr>
              <w:t>50</w:t>
            </w:r>
            <w:r>
              <w:rPr>
                <w:rFonts w:hint="eastAsia" w:ascii="宋体" w:hAnsi="宋体" w:eastAsia="宋体"/>
                <w:bCs/>
                <w:color w:val="auto"/>
                <w:sz w:val="24"/>
                <w:szCs w:val="24"/>
                <w:highlight w:val="none"/>
              </w:rPr>
              <w:t>（小数点保留两位）。</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ascii="宋体" w:hAnsi="宋体" w:eastAsia="宋体"/>
                <w:bCs/>
                <w:color w:val="auto"/>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575" w:type="dxa"/>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809" w:type="dxa"/>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w:t>
            </w:r>
          </w:p>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指标</w:t>
            </w:r>
          </w:p>
        </w:tc>
        <w:tc>
          <w:tcPr>
            <w:tcW w:w="7031" w:type="dxa"/>
            <w:tcBorders>
              <w:top w:val="single" w:color="auto" w:sz="4" w:space="0"/>
              <w:left w:val="single" w:color="auto" w:sz="4" w:space="0"/>
              <w:right w:val="single" w:color="auto" w:sz="4" w:space="0"/>
            </w:tcBorders>
            <w:noWrap w:val="0"/>
            <w:vAlign w:val="top"/>
          </w:tcPr>
          <w:p>
            <w:pPr>
              <w:spacing w:after="0" w:line="360" w:lineRule="exact"/>
              <w:jc w:val="both"/>
              <w:rPr>
                <w:rFonts w:ascii="宋体" w:hAnsi="宋体" w:eastAsia="宋体" w:cs="宋体"/>
                <w:bCs/>
                <w:color w:val="auto"/>
                <w:sz w:val="24"/>
                <w:szCs w:val="24"/>
                <w:highlight w:val="none"/>
                <w:lang w:val="zh-CN"/>
              </w:rPr>
            </w:pPr>
            <w:r>
              <w:rPr>
                <w:rFonts w:hint="eastAsia" w:ascii="宋体" w:hAnsi="宋体" w:eastAsia="宋体" w:cs="Arial"/>
                <w:bCs/>
                <w:color w:val="auto"/>
                <w:sz w:val="24"/>
                <w:szCs w:val="24"/>
                <w:highlight w:val="none"/>
              </w:rPr>
              <w:t>设备技术指标及参数全部满足招标文件要求的得29分。</w:t>
            </w:r>
          </w:p>
          <w:p>
            <w:pPr>
              <w:spacing w:after="0" w:line="360" w:lineRule="exact"/>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带</w:t>
            </w:r>
            <w:r>
              <w:rPr>
                <w:rFonts w:hint="eastAsia" w:ascii="宋体" w:hAnsi="宋体" w:eastAsia="宋体"/>
                <w:color w:val="auto"/>
                <w:sz w:val="24"/>
                <w:szCs w:val="24"/>
                <w:highlight w:val="none"/>
              </w:rPr>
              <w:t>▲</w:t>
            </w:r>
            <w:r>
              <w:rPr>
                <w:rFonts w:hint="eastAsia" w:ascii="宋体" w:hAnsi="宋体" w:eastAsia="宋体" w:cs="宋体"/>
                <w:bCs/>
                <w:color w:val="auto"/>
                <w:sz w:val="24"/>
                <w:szCs w:val="24"/>
                <w:highlight w:val="none"/>
                <w:lang w:val="zh-CN"/>
              </w:rPr>
              <w:t>项是核心的技术要求，有负偏离的部分，每一项扣</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分，扣完为止</w:t>
            </w:r>
            <w:r>
              <w:rPr>
                <w:rFonts w:hint="eastAsia" w:ascii="宋体" w:hAnsi="宋体" w:eastAsia="宋体" w:cs="宋体"/>
                <w:bCs/>
                <w:color w:val="auto"/>
                <w:sz w:val="24"/>
                <w:szCs w:val="24"/>
                <w:highlight w:val="none"/>
              </w:rPr>
              <w:t>；</w:t>
            </w:r>
          </w:p>
          <w:p>
            <w:pPr>
              <w:spacing w:after="0" w:line="360" w:lineRule="exact"/>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不带</w:t>
            </w:r>
            <w:r>
              <w:rPr>
                <w:rFonts w:hint="eastAsia" w:ascii="宋体" w:hAnsi="宋体" w:eastAsia="宋体"/>
                <w:color w:val="auto"/>
                <w:sz w:val="24"/>
                <w:szCs w:val="24"/>
                <w:highlight w:val="none"/>
              </w:rPr>
              <w:t>▲</w:t>
            </w:r>
            <w:r>
              <w:rPr>
                <w:rFonts w:hint="eastAsia" w:ascii="宋体" w:hAnsi="宋体" w:eastAsia="宋体" w:cs="宋体"/>
                <w:bCs/>
                <w:color w:val="auto"/>
                <w:sz w:val="24"/>
                <w:szCs w:val="24"/>
                <w:highlight w:val="none"/>
              </w:rPr>
              <w:t>项</w:t>
            </w:r>
            <w:r>
              <w:rPr>
                <w:rFonts w:hint="eastAsia" w:ascii="宋体" w:hAnsi="宋体" w:eastAsia="宋体" w:cs="宋体"/>
                <w:bCs/>
                <w:color w:val="auto"/>
                <w:sz w:val="24"/>
                <w:szCs w:val="24"/>
                <w:highlight w:val="none"/>
                <w:lang w:val="zh-CN"/>
              </w:rPr>
              <w:t>有负偏离的部分，每一项扣</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分，扣完为止。</w:t>
            </w:r>
          </w:p>
        </w:tc>
        <w:tc>
          <w:tcPr>
            <w:tcW w:w="765" w:type="dxa"/>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75" w:type="dxa"/>
            <w:vMerge w:val="restart"/>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809" w:type="dxa"/>
            <w:vMerge w:val="restart"/>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产品与服务</w:t>
            </w:r>
          </w:p>
        </w:tc>
        <w:tc>
          <w:tcPr>
            <w:tcW w:w="7031" w:type="dxa"/>
            <w:tcBorders>
              <w:top w:val="single" w:color="auto" w:sz="4" w:space="0"/>
              <w:left w:val="single" w:color="auto" w:sz="4" w:space="0"/>
              <w:right w:val="single" w:color="auto" w:sz="4" w:space="0"/>
            </w:tcBorders>
            <w:noWrap w:val="0"/>
            <w:vAlign w:val="center"/>
          </w:tcPr>
          <w:p>
            <w:pPr>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响应：投标人在接到报修服务的及时响应时间，响应在1-2小时内的解决问题的，并定期1个月进行维护一次的得4分；响应时间在2-3内小时解决问题的，并定期2个月进行维护一次的得2分；响应时间大于4小时后的，并定期3个月维护一次的不得分。</w:t>
            </w:r>
          </w:p>
        </w:tc>
        <w:tc>
          <w:tcPr>
            <w:tcW w:w="765" w:type="dxa"/>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75" w:type="dxa"/>
            <w:vMerge w:val="continue"/>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p>
        </w:tc>
        <w:tc>
          <w:tcPr>
            <w:tcW w:w="809" w:type="dxa"/>
            <w:vMerge w:val="continue"/>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p>
        </w:tc>
        <w:tc>
          <w:tcPr>
            <w:tcW w:w="7031" w:type="dxa"/>
            <w:tcBorders>
              <w:top w:val="single" w:color="auto" w:sz="4" w:space="0"/>
              <w:left w:val="single" w:color="auto" w:sz="4" w:space="0"/>
              <w:right w:val="single" w:color="auto" w:sz="4" w:space="0"/>
            </w:tcBorders>
            <w:noWrap w:val="0"/>
            <w:vAlign w:val="top"/>
          </w:tcPr>
          <w:p>
            <w:pPr>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施方案：能满足学校要求方案中应包括但不限于以下内容，工程概况及工程目标、说明、组织架构与管理、设计施工及技术计划、投入的施工机械机具及检测设备、施工流程、工程质量措施、工程安全措施、确保文明、应急准备及应急预案、资料管理、对成品半成品及对已有设备的保护等。</w:t>
            </w:r>
          </w:p>
          <w:p>
            <w:pPr>
              <w:spacing w:after="0"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实施方案具体、可实施性强</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分；实施方案一般、略有瑕疵</w:t>
            </w:r>
            <w:r>
              <w:rPr>
                <w:rFonts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rPr>
              <w:t>分；实施方案较差、不切实际1分；未提供</w:t>
            </w:r>
            <w:r>
              <w:rPr>
                <w:rFonts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rPr>
              <w:t>分。</w:t>
            </w:r>
          </w:p>
        </w:tc>
        <w:tc>
          <w:tcPr>
            <w:tcW w:w="765" w:type="dxa"/>
            <w:tcBorders>
              <w:top w:val="single" w:color="auto" w:sz="4" w:space="0"/>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575" w:type="dxa"/>
            <w:vMerge w:val="continue"/>
            <w:tcBorders>
              <w:left w:val="single" w:color="auto" w:sz="4" w:space="0"/>
              <w:right w:val="single" w:color="auto" w:sz="4" w:space="0"/>
            </w:tcBorders>
            <w:noWrap w:val="0"/>
            <w:vAlign w:val="center"/>
          </w:tcPr>
          <w:p>
            <w:pPr>
              <w:spacing w:after="0" w:line="360" w:lineRule="exact"/>
              <w:ind w:right="105"/>
              <w:jc w:val="center"/>
              <w:rPr>
                <w:rFonts w:ascii="宋体" w:hAnsi="宋体" w:eastAsia="宋体" w:cs="宋体"/>
                <w:bCs/>
                <w:color w:val="auto"/>
                <w:sz w:val="24"/>
                <w:szCs w:val="24"/>
                <w:highlight w:val="none"/>
              </w:rPr>
            </w:pPr>
          </w:p>
        </w:tc>
        <w:tc>
          <w:tcPr>
            <w:tcW w:w="809" w:type="dxa"/>
            <w:vMerge w:val="continue"/>
            <w:tcBorders>
              <w:left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p>
        </w:tc>
        <w:tc>
          <w:tcPr>
            <w:tcW w:w="7031" w:type="dxa"/>
            <w:tcBorders>
              <w:top w:val="single" w:color="auto" w:sz="4" w:space="0"/>
              <w:left w:val="single" w:color="auto" w:sz="4" w:space="0"/>
              <w:bottom w:val="single" w:color="auto" w:sz="4" w:space="0"/>
              <w:right w:val="single" w:color="auto" w:sz="4" w:space="0"/>
            </w:tcBorders>
            <w:noWrap w:val="0"/>
            <w:vAlign w:val="top"/>
          </w:tcPr>
          <w:p>
            <w:pPr>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原厂质保3年，不得分，原厂质保在此基础上，每增加1年得1分，最多得2分（根据投标方提供吊麦扩声设备的原厂质保函）；</w:t>
            </w:r>
            <w:r>
              <w:rPr>
                <w:rFonts w:ascii="宋体" w:hAnsi="宋体" w:eastAsia="宋体" w:cs="宋体"/>
                <w:bCs/>
                <w:color w:val="auto"/>
                <w:sz w:val="24"/>
                <w:szCs w:val="24"/>
                <w:highlight w:val="none"/>
              </w:rPr>
              <w:t xml:space="preserve"> </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ind w:firstLine="120" w:firstLineChars="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ascii="宋体" w:hAnsi="宋体" w:eastAsia="宋体" w:cs="宋体"/>
                <w:bCs/>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ind w:right="105"/>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同类业绩</w:t>
            </w:r>
          </w:p>
        </w:tc>
        <w:tc>
          <w:tcPr>
            <w:tcW w:w="7031"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rPr>
                <w:rFonts w:ascii="宋体" w:hAnsi="宋体" w:eastAsia="宋体" w:cs="宋体"/>
                <w:bCs/>
                <w:color w:val="auto"/>
                <w:sz w:val="24"/>
                <w:szCs w:val="24"/>
                <w:highlight w:val="none"/>
              </w:rPr>
            </w:pPr>
            <w:r>
              <w:rPr>
                <w:rFonts w:hint="eastAsia" w:ascii="宋体" w:hAnsi="宋体" w:eastAsia="宋体" w:cs="Arial"/>
                <w:bCs/>
                <w:color w:val="auto"/>
                <w:sz w:val="24"/>
                <w:szCs w:val="24"/>
                <w:highlight w:val="none"/>
              </w:rPr>
              <w:t>投标人在2019年1月1日至今具有与该项目类似的成功应用案例的提供资料复印</w:t>
            </w:r>
            <w:r>
              <w:rPr>
                <w:rFonts w:hint="eastAsia" w:ascii="宋体" w:hAnsi="宋体" w:eastAsia="宋体"/>
                <w:color w:val="auto"/>
                <w:sz w:val="24"/>
                <w:szCs w:val="24"/>
                <w:highlight w:val="none"/>
              </w:rPr>
              <w:t>（采购合同）</w:t>
            </w:r>
            <w:r>
              <w:rPr>
                <w:rFonts w:hint="eastAsia" w:ascii="宋体" w:hAnsi="宋体" w:eastAsia="宋体" w:cs="Arial"/>
                <w:bCs/>
                <w:color w:val="auto"/>
                <w:sz w:val="24"/>
                <w:szCs w:val="24"/>
                <w:highlight w:val="none"/>
              </w:rPr>
              <w:t>，原件备查。有1个得2分，最多得10分。</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bl>
    <w:p>
      <w:pPr>
        <w:pStyle w:val="2"/>
        <w:ind w:left="1320"/>
        <w:rPr>
          <w:rFonts w:hint="eastAsia"/>
          <w:color w:val="auto"/>
          <w:highlight w:val="none"/>
        </w:rPr>
      </w:pPr>
    </w:p>
    <w:p>
      <w:pPr>
        <w:pStyle w:val="3"/>
        <w:pageBreakBefore/>
        <w:rPr>
          <w:rFonts w:hint="eastAsia" w:ascii="宋体" w:hAnsi="宋体" w:eastAsia="宋体" w:cs="宋体"/>
          <w:b/>
          <w:bCs/>
          <w:color w:val="auto"/>
          <w:sz w:val="44"/>
          <w:highlight w:val="none"/>
        </w:rPr>
      </w:pPr>
      <w:bookmarkStart w:id="160" w:name="_Toc523931349"/>
      <w:r>
        <w:rPr>
          <w:rFonts w:hint="eastAsia" w:ascii="宋体" w:hAnsi="宋体" w:eastAsia="宋体" w:cs="宋体"/>
          <w:b/>
          <w:bCs/>
          <w:color w:val="auto"/>
          <w:sz w:val="44"/>
          <w:highlight w:val="none"/>
        </w:rPr>
        <w:t>第五章  投标文件格式</w:t>
      </w:r>
      <w:bookmarkEnd w:id="160"/>
    </w:p>
    <w:p>
      <w:pPr>
        <w:jc w:val="center"/>
        <w:rPr>
          <w:rFonts w:hint="eastAsia" w:ascii="宋体" w:hAnsi="宋体" w:eastAsia="宋体" w:cs="宋体"/>
          <w:b/>
          <w:color w:val="auto"/>
          <w:sz w:val="72"/>
          <w:highlight w:val="none"/>
        </w:rPr>
      </w:pPr>
      <w:bookmarkStart w:id="161" w:name="_Hlt26955039"/>
      <w:bookmarkEnd w:id="161"/>
      <w:bookmarkStart w:id="162" w:name="_Hlt26671244"/>
      <w:bookmarkEnd w:id="162"/>
      <w:bookmarkStart w:id="163" w:name="_Toc120614282"/>
      <w:bookmarkStart w:id="164" w:name="_Toc26554094"/>
      <w:bookmarkStart w:id="165" w:name="_Toc49090576"/>
    </w:p>
    <w:p>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投标文件</w:t>
      </w:r>
    </w:p>
    <w:p>
      <w:pPr>
        <w:jc w:val="center"/>
        <w:rPr>
          <w:rFonts w:hint="eastAsia" w:ascii="宋体" w:hAnsi="宋体" w:eastAsia="宋体" w:cs="宋体"/>
          <w:b/>
          <w:color w:val="auto"/>
          <w:sz w:val="72"/>
          <w:highlight w:val="none"/>
        </w:rPr>
      </w:pPr>
    </w:p>
    <w:p>
      <w:pPr>
        <w:jc w:val="center"/>
        <w:rPr>
          <w:rFonts w:hint="eastAsia" w:ascii="宋体" w:hAnsi="宋体" w:eastAsia="宋体" w:cs="宋体"/>
          <w:b/>
          <w:color w:val="auto"/>
          <w:sz w:val="72"/>
          <w:highlight w:val="none"/>
        </w:rPr>
      </w:pP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36"/>
          <w:highlight w:val="none"/>
        </w:rPr>
      </w:pPr>
    </w:p>
    <w:p>
      <w:pPr>
        <w:jc w:val="center"/>
        <w:rPr>
          <w:rFonts w:hint="eastAsia" w:ascii="宋体" w:hAnsi="宋体" w:eastAsia="宋体" w:cs="宋体"/>
          <w:b/>
          <w:color w:val="auto"/>
          <w:sz w:val="36"/>
          <w:highlight w:val="none"/>
        </w:rPr>
      </w:pP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项目名称：</w:t>
      </w:r>
    </w:p>
    <w:p>
      <w:pPr>
        <w:ind w:firstLine="1084" w:firstLineChars="300"/>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招标编号：</w:t>
      </w:r>
    </w:p>
    <w:p>
      <w:pPr>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投标人名称：</w:t>
      </w: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日期：</w:t>
      </w:r>
    </w:p>
    <w:p>
      <w:pPr>
        <w:spacing w:line="440" w:lineRule="exact"/>
        <w:jc w:val="center"/>
        <w:rPr>
          <w:rFonts w:hint="eastAsia" w:ascii="宋体" w:hAnsi="宋体" w:eastAsia="宋体" w:cs="宋体"/>
          <w:b/>
          <w:bCs/>
          <w:color w:val="auto"/>
          <w:sz w:val="32"/>
          <w:szCs w:val="32"/>
          <w:highlight w:val="none"/>
        </w:rPr>
      </w:pP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p>
      <w:pPr>
        <w:spacing w:line="440" w:lineRule="exact"/>
        <w:rPr>
          <w:rFonts w:ascii="宋体" w:hAnsi="宋体" w:eastAsia="宋体" w:cs="宋体"/>
          <w:b/>
          <w:bCs/>
          <w:color w:val="auto"/>
          <w:sz w:val="32"/>
          <w:szCs w:val="32"/>
          <w:highlight w:val="none"/>
        </w:rPr>
      </w:pPr>
    </w:p>
    <w:p>
      <w:pPr>
        <w:pStyle w:val="2"/>
        <w:ind w:left="1320"/>
        <w:rPr>
          <w:rFonts w:hint="eastAsia"/>
          <w:color w:val="auto"/>
          <w:highlight w:val="none"/>
        </w:rPr>
      </w:pPr>
    </w:p>
    <w:p>
      <w:pPr>
        <w:pStyle w:val="25"/>
        <w:ind w:firstLine="0"/>
        <w:jc w:val="center"/>
        <w:rPr>
          <w:rFonts w:hint="eastAsia" w:ascii="宋体" w:hAnsi="宋体" w:cs="宋体"/>
          <w:b/>
          <w:color w:val="auto"/>
          <w:highlight w:val="none"/>
        </w:rPr>
      </w:pPr>
      <w:bookmarkStart w:id="166" w:name="_Toc517190894"/>
      <w:r>
        <w:rPr>
          <w:rFonts w:hint="eastAsia" w:ascii="宋体" w:hAnsi="宋体" w:cs="宋体"/>
          <w:b/>
          <w:color w:val="auto"/>
          <w:sz w:val="32"/>
          <w:highlight w:val="none"/>
        </w:rPr>
        <w:t>投标函格式</w:t>
      </w:r>
      <w:bookmarkEnd w:id="166"/>
    </w:p>
    <w:p>
      <w:pPr>
        <w:pStyle w:val="25"/>
        <w:spacing w:before="0" w:after="0" w:line="420" w:lineRule="exact"/>
        <w:ind w:firstLine="0"/>
        <w:rPr>
          <w:rFonts w:hint="eastAsia" w:ascii="宋体" w:hAnsi="宋体" w:cs="宋体"/>
          <w:color w:val="auto"/>
          <w:kern w:val="2"/>
          <w:highlight w:val="none"/>
        </w:rPr>
      </w:pPr>
      <w:r>
        <w:rPr>
          <w:rFonts w:hint="eastAsia" w:ascii="宋体" w:hAnsi="宋体" w:cs="宋体"/>
          <w:color w:val="auto"/>
          <w:kern w:val="2"/>
          <w:highlight w:val="none"/>
        </w:rPr>
        <w:t>致：南京医科大学</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根据贵方的 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据此函，我公司宣布同意如下：</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4.我们同意从规定的开标日期起遵循本投标文件，并在规定的投标有效期天期满之前均具有约束力。</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pPr>
        <w:pStyle w:val="25"/>
        <w:spacing w:before="0" w:after="0" w:line="420" w:lineRule="exact"/>
        <w:ind w:firstLineChars="200"/>
        <w:rPr>
          <w:rFonts w:hint="eastAsia"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pPr>
        <w:pStyle w:val="25"/>
        <w:spacing w:before="0" w:after="0" w:line="420" w:lineRule="exact"/>
        <w:ind w:left="425" w:firstLine="120" w:firstLineChars="50"/>
        <w:rPr>
          <w:rFonts w:hint="eastAsia" w:ascii="宋体" w:hAnsi="宋体" w:cs="宋体"/>
          <w:color w:val="auto"/>
          <w:kern w:val="2"/>
          <w:highlight w:val="none"/>
        </w:rPr>
      </w:pPr>
      <w:r>
        <w:rPr>
          <w:rFonts w:hint="eastAsia" w:ascii="宋体" w:hAnsi="宋体" w:cs="宋体"/>
          <w:color w:val="auto"/>
          <w:kern w:val="2"/>
          <w:highlight w:val="none"/>
        </w:rPr>
        <w:t>8.与本投标有关的正式通讯地址为：</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地址：</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邮编：                           电话：</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传真：</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投标人开户行名称：</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投标人名称：</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 xml:space="preserve">账号： </w:t>
      </w:r>
    </w:p>
    <w:p>
      <w:pPr>
        <w:pStyle w:val="25"/>
        <w:spacing w:before="0" w:after="0" w:line="420" w:lineRule="exact"/>
        <w:ind w:left="440" w:leftChars="200" w:firstLine="482" w:firstLineChars="200"/>
        <w:rPr>
          <w:rFonts w:hint="eastAsia" w:ascii="宋体" w:hAnsi="宋体" w:cs="宋体"/>
          <w:color w:val="auto"/>
          <w:kern w:val="2"/>
          <w:highlight w:val="none"/>
        </w:rPr>
      </w:pPr>
      <w:r>
        <w:rPr>
          <w:rFonts w:hint="eastAsia" w:ascii="宋体" w:hAnsi="宋体" w:cs="宋体"/>
          <w:b/>
          <w:color w:val="auto"/>
          <w:kern w:val="2"/>
          <w:highlight w:val="none"/>
          <w:u w:val="single"/>
        </w:rPr>
        <w:t>投标人授权代表姓名（签字）</w:t>
      </w:r>
      <w:r>
        <w:rPr>
          <w:rFonts w:hint="eastAsia" w:ascii="宋体" w:hAnsi="宋体" w:cs="宋体"/>
          <w:color w:val="auto"/>
          <w:kern w:val="2"/>
          <w:highlight w:val="none"/>
        </w:rPr>
        <w:t xml:space="preserve">： </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 xml:space="preserve">投标人名称（公章）： </w:t>
      </w:r>
    </w:p>
    <w:p>
      <w:pPr>
        <w:pStyle w:val="25"/>
        <w:spacing w:before="0" w:after="0" w:line="420" w:lineRule="exact"/>
        <w:ind w:left="440" w:leftChars="200" w:firstLineChars="200"/>
        <w:rPr>
          <w:rFonts w:hint="eastAsia" w:ascii="宋体" w:hAnsi="宋体" w:cs="宋体"/>
          <w:color w:val="auto"/>
          <w:kern w:val="2"/>
          <w:highlight w:val="none"/>
        </w:rPr>
      </w:pPr>
      <w:r>
        <w:rPr>
          <w:rFonts w:hint="eastAsia" w:ascii="宋体" w:hAnsi="宋体" w:cs="宋体"/>
          <w:color w:val="auto"/>
          <w:kern w:val="2"/>
          <w:highlight w:val="none"/>
        </w:rPr>
        <w:t>法人（签字）：</w:t>
      </w:r>
    </w:p>
    <w:p>
      <w:pPr>
        <w:pStyle w:val="25"/>
        <w:spacing w:before="0" w:after="0" w:line="420" w:lineRule="exact"/>
        <w:ind w:left="440" w:leftChars="200" w:firstLine="3000" w:firstLineChars="1250"/>
        <w:rPr>
          <w:rFonts w:hint="eastAsia" w:ascii="宋体" w:hAnsi="宋体" w:cs="宋体"/>
          <w:color w:val="auto"/>
          <w:kern w:val="2"/>
          <w:highlight w:val="none"/>
        </w:rPr>
      </w:pPr>
    </w:p>
    <w:p>
      <w:pPr>
        <w:pStyle w:val="25"/>
        <w:spacing w:before="0" w:after="0" w:line="420" w:lineRule="exact"/>
        <w:jc w:val="right"/>
        <w:rPr>
          <w:rFonts w:hint="eastAsia" w:ascii="宋体" w:hAnsi="宋体" w:cs="宋体"/>
          <w:color w:val="auto"/>
          <w:kern w:val="2"/>
          <w:highlight w:val="none"/>
        </w:rPr>
      </w:pPr>
      <w:r>
        <w:rPr>
          <w:rFonts w:hint="eastAsia" w:ascii="宋体" w:hAnsi="宋体" w:cs="宋体"/>
          <w:color w:val="auto"/>
          <w:kern w:val="2"/>
          <w:highlight w:val="none"/>
        </w:rPr>
        <w:t>日期： ____年__月__日</w:t>
      </w:r>
    </w:p>
    <w:p>
      <w:pPr>
        <w:spacing w:before="50" w:after="156" w:afterLines="50"/>
        <w:rPr>
          <w:rFonts w:hint="eastAsia" w:ascii="宋体" w:hAnsi="宋体" w:eastAsia="宋体" w:cs="宋体"/>
          <w:color w:val="auto"/>
          <w:sz w:val="24"/>
          <w:szCs w:val="20"/>
          <w:highlight w:val="none"/>
        </w:rPr>
      </w:pPr>
    </w:p>
    <w:p>
      <w:pPr>
        <w:pStyle w:val="25"/>
        <w:ind w:firstLine="0"/>
        <w:jc w:val="center"/>
        <w:rPr>
          <w:rFonts w:hint="eastAsia" w:ascii="宋体" w:hAnsi="宋体" w:cs="宋体"/>
          <w:b/>
          <w:color w:val="auto"/>
          <w:sz w:val="32"/>
          <w:highlight w:val="none"/>
        </w:rPr>
      </w:pPr>
      <w:bookmarkStart w:id="167" w:name="_Toc517190895"/>
      <w:r>
        <w:rPr>
          <w:rFonts w:hint="eastAsia" w:ascii="宋体" w:hAnsi="宋体" w:cs="宋体"/>
          <w:b/>
          <w:color w:val="auto"/>
          <w:sz w:val="32"/>
          <w:highlight w:val="none"/>
        </w:rPr>
        <w:t>法人授权书</w:t>
      </w:r>
      <w:bookmarkEnd w:id="167"/>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____________</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________________</w:t>
      </w:r>
      <w:r>
        <w:rPr>
          <w:rFonts w:hint="eastAsia" w:ascii="宋体" w:hAnsi="宋体" w:cs="宋体"/>
          <w:color w:val="auto"/>
          <w:sz w:val="24"/>
          <w:szCs w:val="24"/>
          <w:highlight w:val="none"/>
        </w:rPr>
        <w:t>（被授权人的姓名）为我方就 项目（项目编号：）采购活动的合法代理人，以本公司名义全权处理一切与该项目采购投标、合同签订等有关的事务。</w:t>
      </w: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代理人（被授权人）：</w:t>
      </w:r>
      <w:r>
        <w:rPr>
          <w:rFonts w:hint="eastAsia" w:ascii="宋体" w:hAnsi="宋体" w:cs="宋体"/>
          <w:color w:val="auto"/>
          <w:sz w:val="24"/>
          <w:szCs w:val="24"/>
          <w:highlight w:val="none"/>
          <w:u w:val="single"/>
        </w:rPr>
        <w:t>_______________________</w:t>
      </w:r>
    </w:p>
    <w:p>
      <w:pPr>
        <w:pStyle w:val="29"/>
        <w:spacing w:line="360"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_______________________  </w:t>
      </w: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联系电话：（手机）___________</w:t>
      </w:r>
      <w:r>
        <w:rPr>
          <w:rFonts w:hint="eastAsia" w:ascii="宋体" w:hAnsi="宋体" w:cs="宋体"/>
          <w:color w:val="auto"/>
          <w:sz w:val="24"/>
          <w:szCs w:val="24"/>
          <w:highlight w:val="none"/>
          <w:u w:val="single"/>
        </w:rPr>
        <w:t>____________</w:t>
      </w: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pPr>
        <w:pStyle w:val="29"/>
        <w:spacing w:line="360" w:lineRule="auto"/>
        <w:ind w:firstLine="480"/>
        <w:jc w:val="right"/>
        <w:rPr>
          <w:rFonts w:hint="eastAsia" w:ascii="宋体" w:hAnsi="宋体" w:cs="宋体"/>
          <w:color w:val="auto"/>
          <w:sz w:val="24"/>
          <w:szCs w:val="24"/>
          <w:highlight w:val="none"/>
        </w:rPr>
      </w:pP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法人签字：</w:t>
      </w:r>
    </w:p>
    <w:p>
      <w:pPr>
        <w:pStyle w:val="29"/>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授权单位盖章：</w:t>
      </w:r>
    </w:p>
    <w:p>
      <w:pPr>
        <w:pStyle w:val="29"/>
        <w:spacing w:line="360" w:lineRule="auto"/>
        <w:ind w:firstLine="480"/>
        <w:jc w:val="right"/>
        <w:rPr>
          <w:rFonts w:hint="eastAsia" w:ascii="宋体" w:hAnsi="宋体" w:cs="宋体"/>
          <w:color w:val="auto"/>
          <w:sz w:val="24"/>
          <w:szCs w:val="24"/>
          <w:highlight w:val="none"/>
        </w:rPr>
      </w:pPr>
    </w:p>
    <w:p>
      <w:pPr>
        <w:pStyle w:val="29"/>
        <w:spacing w:line="360" w:lineRule="auto"/>
        <w:ind w:firstLine="48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6"/>
        <w:rPr>
          <w:rFonts w:hint="eastAsia" w:ascii="宋体" w:hAnsi="宋体" w:cs="宋体"/>
          <w:color w:val="auto"/>
          <w:sz w:val="22"/>
          <w:highlight w:val="none"/>
        </w:rPr>
      </w:pPr>
      <w:bookmarkStart w:id="168" w:name="_Hlt26955070"/>
      <w:bookmarkEnd w:id="168"/>
      <w:bookmarkStart w:id="169" w:name="_格式3__银行出具的资信证明"/>
      <w:bookmarkEnd w:id="169"/>
      <w:bookmarkStart w:id="170" w:name="_Hlt26671380"/>
      <w:bookmarkEnd w:id="170"/>
    </w:p>
    <w:p>
      <w:pPr>
        <w:rPr>
          <w:rFonts w:hint="eastAsia"/>
          <w:color w:val="auto"/>
          <w:highlight w:val="none"/>
        </w:rPr>
      </w:pPr>
    </w:p>
    <w:p>
      <w:pPr>
        <w:pStyle w:val="25"/>
        <w:pageBreakBefore/>
        <w:ind w:firstLine="0"/>
        <w:jc w:val="center"/>
        <w:rPr>
          <w:rFonts w:hint="eastAsia" w:ascii="宋体" w:hAnsi="宋体" w:cs="宋体"/>
          <w:b/>
          <w:color w:val="auto"/>
          <w:sz w:val="32"/>
          <w:szCs w:val="20"/>
          <w:highlight w:val="none"/>
        </w:rPr>
      </w:pPr>
      <w:bookmarkStart w:id="171" w:name="_Toc517190896"/>
      <w:r>
        <w:rPr>
          <w:rFonts w:hint="eastAsia" w:ascii="宋体" w:hAnsi="宋体" w:cs="宋体"/>
          <w:b/>
          <w:color w:val="auto"/>
          <w:sz w:val="32"/>
          <w:highlight w:val="none"/>
        </w:rPr>
        <w:t>开标一览表</w:t>
      </w:r>
      <w:bookmarkEnd w:id="171"/>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分包号：</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2481" w:type="dxa"/>
            <w:noWrap w:val="0"/>
            <w:vAlign w:val="center"/>
          </w:tcPr>
          <w:p>
            <w:pPr>
              <w:pStyle w:val="8"/>
              <w:spacing w:line="30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项目名称</w:t>
            </w:r>
          </w:p>
        </w:tc>
        <w:tc>
          <w:tcPr>
            <w:tcW w:w="5883"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2481" w:type="dxa"/>
            <w:noWrap w:val="0"/>
            <w:vAlign w:val="center"/>
          </w:tcPr>
          <w:p>
            <w:pPr>
              <w:pStyle w:val="8"/>
              <w:spacing w:line="30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投标总报价</w:t>
            </w:r>
          </w:p>
        </w:tc>
        <w:tc>
          <w:tcPr>
            <w:tcW w:w="5883" w:type="dxa"/>
            <w:noWrap w:val="0"/>
            <w:vAlign w:val="center"/>
          </w:tcPr>
          <w:p>
            <w:pPr>
              <w:pStyle w:val="8"/>
              <w:spacing w:line="30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大写：人民币</w:t>
            </w:r>
          </w:p>
          <w:p>
            <w:pPr>
              <w:pStyle w:val="25"/>
              <w:spacing w:before="0" w:after="0" w:line="500" w:lineRule="exact"/>
              <w:ind w:firstLine="0"/>
              <w:rPr>
                <w:rFonts w:hint="eastAsia" w:ascii="宋体" w:hAnsi="宋体" w:cs="宋体"/>
                <w:color w:val="auto"/>
                <w:kern w:val="2"/>
                <w:highlight w:val="none"/>
              </w:rPr>
            </w:pPr>
            <w:r>
              <w:rPr>
                <w:rFonts w:hint="eastAsia" w:ascii="宋体" w:hAnsi="宋体" w:cs="宋体"/>
                <w:color w:val="auto"/>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noWrap w:val="0"/>
            <w:vAlign w:val="center"/>
          </w:tcPr>
          <w:p>
            <w:pPr>
              <w:pStyle w:val="8"/>
              <w:spacing w:line="300"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货物品牌及型号</w:t>
            </w:r>
          </w:p>
        </w:tc>
        <w:tc>
          <w:tcPr>
            <w:tcW w:w="5883" w:type="dxa"/>
            <w:noWrap w:val="0"/>
            <w:vAlign w:val="center"/>
          </w:tcPr>
          <w:p>
            <w:pPr>
              <w:pStyle w:val="8"/>
              <w:spacing w:line="300" w:lineRule="auto"/>
              <w:ind w:firstLine="1560" w:firstLineChars="650"/>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481" w:type="dxa"/>
            <w:noWrap w:val="0"/>
            <w:vAlign w:val="center"/>
          </w:tcPr>
          <w:p>
            <w:pPr>
              <w:pStyle w:val="8"/>
              <w:spacing w:line="30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质保期限</w:t>
            </w:r>
          </w:p>
        </w:tc>
        <w:tc>
          <w:tcPr>
            <w:tcW w:w="5883" w:type="dxa"/>
            <w:noWrap w:val="0"/>
            <w:vAlign w:val="center"/>
          </w:tcPr>
          <w:p>
            <w:pPr>
              <w:pStyle w:val="8"/>
              <w:spacing w:line="300" w:lineRule="auto"/>
              <w:ind w:firstLine="1560" w:firstLineChars="650"/>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noWrap w:val="0"/>
            <w:vAlign w:val="center"/>
          </w:tcPr>
          <w:p>
            <w:pPr>
              <w:pStyle w:val="8"/>
              <w:spacing w:line="30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其他优惠承诺</w:t>
            </w:r>
          </w:p>
        </w:tc>
        <w:tc>
          <w:tcPr>
            <w:tcW w:w="5883" w:type="dxa"/>
            <w:noWrap w:val="0"/>
            <w:vAlign w:val="center"/>
          </w:tcPr>
          <w:p>
            <w:pPr>
              <w:pStyle w:val="8"/>
              <w:spacing w:line="300" w:lineRule="auto"/>
              <w:ind w:firstLine="1560" w:firstLineChars="650"/>
              <w:rPr>
                <w:rFonts w:ascii="宋体" w:hAnsi="宋体" w:eastAsia="宋体" w:cs="宋体"/>
                <w:color w:val="auto"/>
                <w:sz w:val="24"/>
                <w:szCs w:val="24"/>
                <w:highlight w:val="none"/>
              </w:rPr>
            </w:pPr>
          </w:p>
        </w:tc>
      </w:tr>
    </w:tbl>
    <w:p>
      <w:pPr>
        <w:ind w:firstLine="48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投标单位名称（加盖公章）：</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pPr>
        <w:spacing w:line="500" w:lineRule="exact"/>
        <w:ind w:firstLine="480"/>
        <w:rPr>
          <w:rFonts w:hint="eastAsia"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i/>
          <w:color w:val="auto"/>
          <w:sz w:val="24"/>
          <w:szCs w:val="24"/>
          <w:highlight w:val="none"/>
          <w:u w:val="single"/>
        </w:rPr>
        <w:t>开标一览表必须单独密封在信封中，在投标截止时间前与投标文件分别递交，否则视为无效投标。</w:t>
      </w:r>
    </w:p>
    <w:p>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Cs/>
          <w:i/>
          <w:iCs/>
          <w:color w:val="auto"/>
          <w:sz w:val="24"/>
          <w:szCs w:val="24"/>
          <w:highlight w:val="none"/>
          <w:u w:val="single"/>
        </w:rPr>
        <w:t>开标一览表必须加盖投标单位公章（复印件无效）</w:t>
      </w:r>
      <w:r>
        <w:rPr>
          <w:rFonts w:hint="eastAsia" w:ascii="宋体" w:hAnsi="宋体" w:eastAsia="宋体" w:cs="宋体"/>
          <w:i/>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3.如有分包，投标人投任何一个包的标的，都需单独填写开标一览表。</w:t>
      </w:r>
    </w:p>
    <w:p>
      <w:pPr>
        <w:spacing w:line="460" w:lineRule="exact"/>
        <w:rPr>
          <w:rFonts w:hint="eastAsia" w:ascii="宋体" w:hAnsi="宋体" w:eastAsia="宋体" w:cs="宋体"/>
          <w:bCs/>
          <w:color w:val="auto"/>
          <w:sz w:val="28"/>
          <w:highlight w:val="none"/>
        </w:rPr>
      </w:pPr>
    </w:p>
    <w:p>
      <w:pPr>
        <w:ind w:firstLine="1084" w:firstLineChars="300"/>
        <w:rPr>
          <w:rFonts w:hint="eastAsia" w:ascii="宋体" w:hAnsi="宋体" w:eastAsia="宋体" w:cs="宋体"/>
          <w:b/>
          <w:bCs/>
          <w:color w:val="auto"/>
          <w:sz w:val="36"/>
          <w:szCs w:val="32"/>
          <w:highlight w:val="none"/>
        </w:rPr>
      </w:pPr>
    </w:p>
    <w:p>
      <w:pPr>
        <w:spacing w:line="440" w:lineRule="exact"/>
        <w:rPr>
          <w:rFonts w:hint="eastAsia" w:ascii="宋体" w:hAnsi="宋体" w:eastAsia="宋体" w:cs="宋体"/>
          <w:color w:val="auto"/>
          <w:sz w:val="24"/>
          <w:highlight w:val="none"/>
        </w:rPr>
      </w:pPr>
    </w:p>
    <w:p>
      <w:pPr>
        <w:pStyle w:val="25"/>
        <w:ind w:firstLine="0"/>
        <w:jc w:val="center"/>
        <w:rPr>
          <w:rFonts w:hint="eastAsia" w:ascii="宋体" w:hAnsi="宋体" w:cs="宋体"/>
          <w:b/>
          <w:color w:val="auto"/>
          <w:sz w:val="32"/>
          <w:highlight w:val="none"/>
        </w:rPr>
      </w:pPr>
      <w:r>
        <w:rPr>
          <w:rFonts w:hint="eastAsia" w:ascii="宋体" w:hAnsi="宋体" w:cs="宋体"/>
          <w:b/>
          <w:color w:val="auto"/>
          <w:sz w:val="32"/>
          <w:highlight w:val="none"/>
        </w:rPr>
        <w:t>投标产品配置及分项报价表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货物名称及规格、型号</w:t>
            </w:r>
          </w:p>
        </w:tc>
        <w:tc>
          <w:tcPr>
            <w:tcW w:w="156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4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8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3794" w:type="dxa"/>
            <w:noWrap w:val="0"/>
            <w:vAlign w:val="center"/>
          </w:tcPr>
          <w:p>
            <w:pPr>
              <w:rPr>
                <w:rFonts w:hint="eastAsia" w:ascii="宋体" w:hAnsi="宋体" w:eastAsia="宋体" w:cs="宋体"/>
                <w:color w:val="auto"/>
                <w:sz w:val="28"/>
                <w:szCs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3794" w:type="dxa"/>
            <w:noWrap w:val="0"/>
            <w:vAlign w:val="center"/>
          </w:tcPr>
          <w:p>
            <w:pPr>
              <w:rPr>
                <w:rFonts w:hint="eastAsia" w:ascii="宋体" w:hAnsi="宋体" w:eastAsia="宋体" w:cs="宋体"/>
                <w:color w:val="auto"/>
                <w:sz w:val="28"/>
                <w:szCs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3794" w:type="dxa"/>
            <w:noWrap w:val="0"/>
            <w:vAlign w:val="center"/>
          </w:tcPr>
          <w:p>
            <w:pPr>
              <w:rPr>
                <w:rFonts w:hint="eastAsia" w:ascii="宋体" w:hAnsi="宋体" w:eastAsia="宋体" w:cs="宋体"/>
                <w:color w:val="auto"/>
                <w:sz w:val="28"/>
                <w:szCs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i/>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noWrap w:val="0"/>
            <w:vAlign w:val="center"/>
          </w:tcPr>
          <w:p>
            <w:pPr>
              <w:rPr>
                <w:rFonts w:hint="eastAsia" w:ascii="宋体" w:hAnsi="宋体" w:eastAsia="宋体" w:cs="宋体"/>
                <w:color w:val="auto"/>
                <w:sz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noWrap w:val="0"/>
            <w:vAlign w:val="center"/>
          </w:tcPr>
          <w:p>
            <w:pPr>
              <w:rPr>
                <w:rFonts w:hint="eastAsia" w:ascii="宋体" w:hAnsi="宋体" w:eastAsia="宋体" w:cs="宋体"/>
                <w:color w:val="auto"/>
                <w:sz w:val="28"/>
                <w:szCs w:val="24"/>
                <w:highlight w:val="none"/>
              </w:rPr>
            </w:pPr>
          </w:p>
        </w:tc>
        <w:tc>
          <w:tcPr>
            <w:tcW w:w="1567" w:type="dxa"/>
            <w:noWrap w:val="0"/>
            <w:vAlign w:val="center"/>
          </w:tcPr>
          <w:p>
            <w:pPr>
              <w:rPr>
                <w:rFonts w:hint="eastAsia" w:ascii="宋体" w:hAnsi="宋体" w:eastAsia="宋体" w:cs="宋体"/>
                <w:color w:val="auto"/>
                <w:sz w:val="28"/>
                <w:szCs w:val="24"/>
                <w:highlight w:val="none"/>
              </w:rPr>
            </w:pPr>
          </w:p>
        </w:tc>
        <w:tc>
          <w:tcPr>
            <w:tcW w:w="1442" w:type="dxa"/>
            <w:noWrap w:val="0"/>
            <w:vAlign w:val="center"/>
          </w:tcPr>
          <w:p>
            <w:pPr>
              <w:rPr>
                <w:rFonts w:hint="eastAsia" w:ascii="宋体" w:hAnsi="宋体" w:eastAsia="宋体" w:cs="宋体"/>
                <w:color w:val="auto"/>
                <w:sz w:val="28"/>
                <w:szCs w:val="24"/>
                <w:highlight w:val="none"/>
              </w:rPr>
            </w:pPr>
          </w:p>
        </w:tc>
        <w:tc>
          <w:tcPr>
            <w:tcW w:w="1810" w:type="dxa"/>
            <w:noWrap w:val="0"/>
            <w:vAlign w:val="center"/>
          </w:tcPr>
          <w:p>
            <w:pPr>
              <w:rPr>
                <w:rFonts w:hint="eastAsia" w:ascii="宋体" w:hAnsi="宋体" w:eastAsia="宋体" w:cs="宋体"/>
                <w:color w:val="auto"/>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noWrap w:val="0"/>
            <w:vAlign w:val="center"/>
          </w:tcPr>
          <w:p>
            <w:pPr>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合计</w:t>
            </w:r>
          </w:p>
        </w:tc>
        <w:tc>
          <w:tcPr>
            <w:tcW w:w="4819" w:type="dxa"/>
            <w:gridSpan w:val="3"/>
            <w:noWrap w:val="0"/>
            <w:vAlign w:val="top"/>
          </w:tcPr>
          <w:p>
            <w:pPr>
              <w:rPr>
                <w:rFonts w:hint="eastAsia" w:ascii="宋体" w:hAnsi="宋体" w:eastAsia="宋体" w:cs="宋体"/>
                <w:color w:val="auto"/>
                <w:sz w:val="28"/>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投标单位名称（加盖公章）：</w:t>
      </w:r>
    </w:p>
    <w:p>
      <w:pPr>
        <w:jc w:val="center"/>
        <w:rPr>
          <w:rFonts w:hint="eastAsia" w:ascii="宋体" w:hAnsi="宋体" w:eastAsia="宋体" w:cs="宋体"/>
          <w:b/>
          <w:color w:val="auto"/>
          <w:sz w:val="32"/>
          <w:szCs w:val="24"/>
          <w:highlight w:val="none"/>
        </w:rPr>
      </w:pPr>
      <w:r>
        <w:rPr>
          <w:rFonts w:hint="eastAsia" w:ascii="宋体" w:hAnsi="宋体" w:eastAsia="宋体" w:cs="宋体"/>
          <w:color w:val="auto"/>
          <w:sz w:val="28"/>
          <w:szCs w:val="24"/>
          <w:highlight w:val="none"/>
        </w:rPr>
        <w:br w:type="page"/>
      </w:r>
      <w:bookmarkEnd w:id="163"/>
      <w:bookmarkEnd w:id="164"/>
      <w:bookmarkEnd w:id="165"/>
      <w:bookmarkStart w:id="172" w:name="_Toc120614284"/>
      <w:r>
        <w:rPr>
          <w:rFonts w:hint="eastAsia" w:ascii="宋体" w:hAnsi="宋体" w:eastAsia="宋体" w:cs="宋体"/>
          <w:b/>
          <w:color w:val="auto"/>
          <w:sz w:val="32"/>
          <w:szCs w:val="24"/>
          <w:highlight w:val="none"/>
        </w:rPr>
        <w:t>技术参数响应及偏离表</w:t>
      </w:r>
    </w:p>
    <w:p>
      <w:pPr>
        <w:rPr>
          <w:rFonts w:hint="eastAsia" w:ascii="宋体" w:hAnsi="宋体" w:eastAsia="宋体" w:cs="宋体"/>
          <w:color w:val="auto"/>
          <w:sz w:val="28"/>
          <w:szCs w:val="28"/>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8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5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5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65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符合、正偏离、负偏离</w:t>
            </w:r>
          </w:p>
        </w:tc>
        <w:tc>
          <w:tcPr>
            <w:tcW w:w="117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cs="宋体"/>
                <w:color w:val="auto"/>
                <w:sz w:val="28"/>
                <w:szCs w:val="28"/>
                <w:highlight w:val="none"/>
              </w:rPr>
            </w:pPr>
          </w:p>
        </w:tc>
        <w:tc>
          <w:tcPr>
            <w:tcW w:w="2852" w:type="dxa"/>
            <w:noWrap w:val="0"/>
            <w:vAlign w:val="top"/>
          </w:tcPr>
          <w:p>
            <w:pPr>
              <w:jc w:val="center"/>
              <w:rPr>
                <w:rFonts w:hint="eastAsia" w:ascii="宋体" w:hAnsi="宋体" w:eastAsia="宋体" w:cs="宋体"/>
                <w:color w:val="auto"/>
                <w:sz w:val="28"/>
                <w:szCs w:val="28"/>
                <w:highlight w:val="none"/>
              </w:rPr>
            </w:pPr>
          </w:p>
        </w:tc>
        <w:tc>
          <w:tcPr>
            <w:tcW w:w="2509" w:type="dxa"/>
            <w:noWrap w:val="0"/>
            <w:vAlign w:val="top"/>
          </w:tcPr>
          <w:p>
            <w:pPr>
              <w:jc w:val="center"/>
              <w:rPr>
                <w:rFonts w:hint="eastAsia" w:ascii="宋体" w:hAnsi="宋体" w:eastAsia="宋体" w:cs="宋体"/>
                <w:color w:val="auto"/>
                <w:sz w:val="28"/>
                <w:szCs w:val="28"/>
                <w:highlight w:val="none"/>
              </w:rPr>
            </w:pPr>
          </w:p>
        </w:tc>
        <w:tc>
          <w:tcPr>
            <w:tcW w:w="1651" w:type="dxa"/>
            <w:noWrap w:val="0"/>
            <w:vAlign w:val="top"/>
          </w:tcPr>
          <w:p>
            <w:pPr>
              <w:jc w:val="center"/>
              <w:rPr>
                <w:rFonts w:hint="eastAsia" w:ascii="宋体" w:hAnsi="宋体" w:eastAsia="宋体" w:cs="宋体"/>
                <w:color w:val="auto"/>
                <w:sz w:val="28"/>
                <w:szCs w:val="28"/>
                <w:highlight w:val="none"/>
              </w:rPr>
            </w:pPr>
          </w:p>
        </w:tc>
        <w:tc>
          <w:tcPr>
            <w:tcW w:w="1173" w:type="dxa"/>
            <w:noWrap w:val="0"/>
            <w:vAlign w:val="top"/>
          </w:tcPr>
          <w:p>
            <w:pPr>
              <w:jc w:val="center"/>
              <w:rPr>
                <w:rFonts w:hint="eastAsia" w:ascii="宋体" w:hAnsi="宋体" w:eastAsia="宋体" w:cs="宋体"/>
                <w:color w:val="auto"/>
                <w:sz w:val="28"/>
                <w:szCs w:val="28"/>
                <w:highlight w:val="none"/>
              </w:rPr>
            </w:pPr>
          </w:p>
        </w:tc>
      </w:tr>
    </w:tbl>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投标单位名称（加盖公章）：</w:t>
      </w:r>
    </w:p>
    <w:p>
      <w:pPr>
        <w:rPr>
          <w:rFonts w:hint="eastAsia" w:ascii="宋体" w:hAnsi="宋体" w:eastAsia="宋体" w:cs="宋体"/>
          <w:color w:val="auto"/>
          <w:sz w:val="32"/>
          <w:highlight w:val="none"/>
        </w:rPr>
      </w:pPr>
    </w:p>
    <w:p>
      <w:pPr>
        <w:pStyle w:val="6"/>
        <w:rPr>
          <w:rFonts w:hint="eastAsia" w:ascii="宋体" w:hAnsi="宋体" w:cs="宋体"/>
          <w:color w:val="auto"/>
          <w:highlight w:val="none"/>
        </w:rPr>
      </w:pPr>
    </w:p>
    <w:bookmarkEnd w:id="172"/>
    <w:p>
      <w:pPr>
        <w:pStyle w:val="25"/>
        <w:ind w:firstLine="0"/>
        <w:rPr>
          <w:rFonts w:hint="eastAsia" w:ascii="宋体" w:hAnsi="宋体" w:cs="宋体"/>
          <w:color w:val="auto"/>
          <w:sz w:val="28"/>
          <w:szCs w:val="28"/>
          <w:highlight w:val="none"/>
        </w:rPr>
      </w:pPr>
    </w:p>
    <w:p>
      <w:pPr>
        <w:pStyle w:val="25"/>
        <w:ind w:firstLine="0"/>
        <w:rPr>
          <w:rFonts w:ascii="宋体" w:hAnsi="宋体" w:cs="宋体"/>
          <w:color w:val="auto"/>
          <w:sz w:val="28"/>
          <w:szCs w:val="28"/>
          <w:highlight w:val="none"/>
        </w:rPr>
      </w:pPr>
    </w:p>
    <w:p>
      <w:pPr>
        <w:pStyle w:val="25"/>
        <w:ind w:firstLine="0"/>
        <w:rPr>
          <w:rFonts w:hint="eastAsia" w:ascii="宋体" w:hAnsi="宋体" w:cs="宋体"/>
          <w:color w:val="auto"/>
          <w:sz w:val="28"/>
          <w:szCs w:val="28"/>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商务条款偏差表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（投标文件与招标文件的偏差）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675" w:type="dxa"/>
            <w:noWrap w:val="0"/>
            <w:vAlign w:val="center"/>
          </w:tcPr>
          <w:p>
            <w:pPr>
              <w:jc w:val="center"/>
              <w:rPr>
                <w:rFonts w:hint="eastAsia" w:ascii="宋体" w:hAnsi="宋体" w:eastAsia="宋体" w:cs="宋体"/>
                <w:color w:val="auto"/>
                <w:sz w:val="24"/>
                <w:szCs w:val="24"/>
                <w:highlight w:val="none"/>
              </w:rPr>
            </w:pPr>
            <w:bookmarkStart w:id="173" w:name="OLE_LINK10"/>
            <w:bookmarkStart w:id="174" w:name="OLE_LINK9"/>
            <w:r>
              <w:rPr>
                <w:rFonts w:hint="eastAsia" w:ascii="宋体" w:hAnsi="宋体" w:eastAsia="宋体" w:cs="宋体"/>
                <w:color w:val="auto"/>
                <w:sz w:val="24"/>
                <w:szCs w:val="24"/>
                <w:highlight w:val="none"/>
              </w:rPr>
              <w:t>序号</w:t>
            </w:r>
          </w:p>
        </w:tc>
        <w:tc>
          <w:tcPr>
            <w:tcW w:w="269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4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7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符合、正偏离、负偏离</w:t>
            </w:r>
          </w:p>
        </w:tc>
        <w:tc>
          <w:tcPr>
            <w:tcW w:w="99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法人授权书</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财务报表等</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pPr>
              <w:jc w:val="center"/>
              <w:rPr>
                <w:rFonts w:hint="eastAsia" w:ascii="宋体" w:hAnsi="宋体" w:eastAsia="宋体" w:cs="宋体"/>
                <w:color w:val="auto"/>
                <w:sz w:val="24"/>
                <w:szCs w:val="24"/>
                <w:highlight w:val="none"/>
              </w:rPr>
            </w:pP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缴税及社保证明</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无重大违法说明 </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“信用中国”查询证明</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供货期限要求</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支付方式要求</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694" w:type="dxa"/>
            <w:noWrap w:val="0"/>
            <w:vAlign w:val="top"/>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售后服务及质保要求</w:t>
            </w:r>
          </w:p>
        </w:tc>
        <w:tc>
          <w:tcPr>
            <w:tcW w:w="2409" w:type="dxa"/>
            <w:noWrap w:val="0"/>
            <w:vAlign w:val="top"/>
          </w:tcPr>
          <w:p>
            <w:pPr>
              <w:jc w:val="center"/>
              <w:rPr>
                <w:rFonts w:hint="eastAsia" w:ascii="宋体" w:hAnsi="宋体" w:eastAsia="宋体" w:cs="宋体"/>
                <w:color w:val="auto"/>
                <w:sz w:val="24"/>
                <w:szCs w:val="24"/>
                <w:highlight w:val="none"/>
              </w:rPr>
            </w:pPr>
          </w:p>
        </w:tc>
        <w:tc>
          <w:tcPr>
            <w:tcW w:w="1701" w:type="dxa"/>
            <w:noWrap w:val="0"/>
            <w:vAlign w:val="top"/>
          </w:tcPr>
          <w:p>
            <w:pPr>
              <w:jc w:val="center"/>
              <w:rPr>
                <w:rFonts w:hint="eastAsia" w:ascii="宋体" w:hAnsi="宋体" w:eastAsia="宋体" w:cs="宋体"/>
                <w:color w:val="auto"/>
                <w:sz w:val="24"/>
                <w:szCs w:val="24"/>
                <w:highlight w:val="none"/>
              </w:rPr>
            </w:pPr>
          </w:p>
        </w:tc>
        <w:tc>
          <w:tcPr>
            <w:tcW w:w="993" w:type="dxa"/>
            <w:noWrap w:val="0"/>
            <w:vAlign w:val="top"/>
          </w:tcPr>
          <w:p>
            <w:pPr>
              <w:jc w:val="center"/>
              <w:rPr>
                <w:rFonts w:hint="eastAsia" w:ascii="宋体" w:hAnsi="宋体" w:eastAsia="宋体" w:cs="宋体"/>
                <w:color w:val="auto"/>
                <w:sz w:val="24"/>
                <w:szCs w:val="24"/>
                <w:highlight w:val="none"/>
              </w:rPr>
            </w:pPr>
          </w:p>
        </w:tc>
      </w:tr>
      <w:bookmarkEnd w:id="173"/>
      <w:bookmarkEnd w:id="174"/>
    </w:tbl>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投标单位名称（加盖公章）：</w:t>
      </w:r>
    </w:p>
    <w:p>
      <w:pPr>
        <w:pStyle w:val="2"/>
        <w:ind w:left="1320"/>
        <w:rPr>
          <w:color w:val="auto"/>
          <w:highlight w:val="none"/>
        </w:rPr>
      </w:pPr>
    </w:p>
    <w:p>
      <w:pPr>
        <w:rPr>
          <w:color w:val="auto"/>
          <w:highlight w:val="none"/>
        </w:rPr>
      </w:pPr>
    </w:p>
    <w:p>
      <w:pPr>
        <w:pStyle w:val="2"/>
        <w:ind w:left="1320"/>
        <w:rPr>
          <w:rFonts w:hint="eastAsia"/>
          <w:color w:val="auto"/>
          <w:highlight w:val="none"/>
        </w:rPr>
      </w:pPr>
    </w:p>
    <w:p>
      <w:pPr>
        <w:pStyle w:val="3"/>
        <w:pageBreakBefore/>
        <w:rPr>
          <w:rFonts w:ascii="宋体" w:hAnsi="宋体" w:eastAsia="宋体" w:cs="宋体"/>
          <w:b/>
          <w:bCs/>
          <w:color w:val="auto"/>
          <w:sz w:val="44"/>
          <w:highlight w:val="none"/>
        </w:rPr>
      </w:pPr>
      <w:r>
        <w:rPr>
          <w:rFonts w:hint="eastAsia" w:ascii="宋体" w:hAnsi="宋体" w:eastAsia="宋体" w:cs="宋体"/>
          <w:b/>
          <w:bCs/>
          <w:color w:val="auto"/>
          <w:sz w:val="44"/>
          <w:highlight w:val="none"/>
        </w:rPr>
        <w:t xml:space="preserve">第六章 </w:t>
      </w:r>
      <w:r>
        <w:rPr>
          <w:rFonts w:hint="eastAsia" w:ascii="宋体" w:hAnsi="宋体" w:eastAsia="宋体" w:cs="宋体"/>
          <w:b/>
          <w:bCs/>
          <w:color w:val="auto"/>
          <w:sz w:val="44"/>
          <w:highlight w:val="none"/>
        </w:rPr>
        <w:t>拟签订的合同文本</w:t>
      </w:r>
    </w:p>
    <w:p>
      <w:pPr>
        <w:rPr>
          <w:rFonts w:hint="eastAsia"/>
          <w:color w:val="auto"/>
          <w:highlight w:val="none"/>
        </w:rPr>
      </w:pPr>
    </w:p>
    <w:p>
      <w:pPr>
        <w:pStyle w:val="12"/>
        <w:spacing w:before="120" w:after="120" w:line="330" w:lineRule="atLeast"/>
        <w:ind w:firstLine="480" w:firstLineChars="200"/>
        <w:rPr>
          <w:rFonts w:hint="eastAsia" w:hAnsi="宋体" w:cs="宋体"/>
          <w:color w:val="auto"/>
          <w:sz w:val="24"/>
          <w:szCs w:val="28"/>
          <w:highlight w:val="none"/>
        </w:rPr>
      </w:pPr>
      <w:r>
        <w:rPr>
          <w:rFonts w:hint="eastAsia" w:hAnsi="宋体" w:cs="宋体"/>
          <w:color w:val="auto"/>
          <w:sz w:val="24"/>
          <w:szCs w:val="28"/>
          <w:highlight w:val="none"/>
        </w:rPr>
        <w:t>甲方：（买方）_________         乙方：（卖方）_________</w:t>
      </w:r>
    </w:p>
    <w:p>
      <w:pPr>
        <w:pStyle w:val="12"/>
        <w:spacing w:before="120" w:after="120" w:line="330" w:lineRule="atLeast"/>
        <w:ind w:firstLine="480" w:firstLineChars="200"/>
        <w:rPr>
          <w:rFonts w:hint="eastAsia" w:hAnsi="宋体" w:cs="宋体"/>
          <w:color w:val="auto"/>
          <w:sz w:val="24"/>
          <w:szCs w:val="28"/>
          <w:highlight w:val="none"/>
          <w:u w:val="single"/>
        </w:rPr>
      </w:pPr>
      <w:r>
        <w:rPr>
          <w:rFonts w:hint="eastAsia" w:hAnsi="宋体" w:cs="宋体"/>
          <w:color w:val="auto"/>
          <w:sz w:val="24"/>
          <w:szCs w:val="28"/>
          <w:highlight w:val="none"/>
        </w:rPr>
        <w:t>地址：                          地址：</w:t>
      </w:r>
    </w:p>
    <w:p>
      <w:pPr>
        <w:pStyle w:val="12"/>
        <w:spacing w:before="120" w:after="120" w:line="330" w:lineRule="atLeast"/>
        <w:ind w:firstLine="480" w:firstLineChars="200"/>
        <w:rPr>
          <w:rFonts w:hint="eastAsia" w:hAnsi="宋体" w:cs="宋体"/>
          <w:color w:val="auto"/>
          <w:sz w:val="24"/>
          <w:szCs w:val="28"/>
          <w:highlight w:val="none"/>
        </w:rPr>
      </w:pPr>
      <w:r>
        <w:rPr>
          <w:rFonts w:hint="eastAsia" w:hAnsi="宋体" w:cs="宋体"/>
          <w:color w:val="auto"/>
          <w:sz w:val="24"/>
          <w:szCs w:val="28"/>
          <w:highlight w:val="none"/>
        </w:rPr>
        <w:t>联系方式：                      联系方式：</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甲、乙双方根据南京医科大学项目公开招标的结果，本着自愿及平等互利的原则，就甲方向乙方购买本合同约定的货物事宜，签署本合同。</w:t>
      </w:r>
    </w:p>
    <w:p>
      <w:pPr>
        <w:pStyle w:val="12"/>
        <w:spacing w:before="120" w:after="120" w:line="330" w:lineRule="atLeast"/>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一、货物内容、数量及金额</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noWrap w:val="0"/>
            <w:vAlign w:val="center"/>
          </w:tcPr>
          <w:p>
            <w:pPr>
              <w:spacing w:line="33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编号</w:t>
            </w:r>
          </w:p>
        </w:tc>
        <w:tc>
          <w:tcPr>
            <w:tcW w:w="1797" w:type="dxa"/>
            <w:tcBorders>
              <w:top w:val="single" w:color="auto" w:sz="18" w:space="0"/>
              <w:bottom w:val="single" w:color="auto" w:sz="18" w:space="0"/>
            </w:tcBorders>
            <w:shd w:val="pct10" w:color="auto" w:fill="FFFFFF"/>
            <w:noWrap w:val="0"/>
            <w:vAlign w:val="center"/>
          </w:tcPr>
          <w:p>
            <w:pPr>
              <w:spacing w:line="33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2352" w:type="dxa"/>
            <w:tcBorders>
              <w:top w:val="single" w:color="auto" w:sz="18" w:space="0"/>
              <w:bottom w:val="single" w:color="auto" w:sz="18" w:space="0"/>
            </w:tcBorders>
            <w:shd w:val="pct10" w:color="auto" w:fill="FFFFFF"/>
            <w:noWrap w:val="0"/>
            <w:vAlign w:val="center"/>
          </w:tcPr>
          <w:p>
            <w:pPr>
              <w:spacing w:line="33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规格型号（品牌）</w:t>
            </w:r>
          </w:p>
        </w:tc>
        <w:tc>
          <w:tcPr>
            <w:tcW w:w="682" w:type="dxa"/>
            <w:tcBorders>
              <w:top w:val="single" w:color="auto" w:sz="18" w:space="0"/>
              <w:bottom w:val="single" w:color="auto" w:sz="18" w:space="0"/>
            </w:tcBorders>
            <w:shd w:val="pct10" w:color="auto" w:fill="FFFFFF"/>
            <w:noWrap w:val="0"/>
            <w:vAlign w:val="center"/>
          </w:tcPr>
          <w:p>
            <w:pPr>
              <w:spacing w:line="33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389" w:type="dxa"/>
            <w:tcBorders>
              <w:top w:val="single" w:color="auto" w:sz="18" w:space="0"/>
              <w:bottom w:val="single" w:color="auto" w:sz="18" w:space="0"/>
              <w:right w:val="single" w:color="auto" w:sz="4" w:space="0"/>
            </w:tcBorders>
            <w:shd w:val="pct10" w:color="auto" w:fill="FFFFFF"/>
            <w:noWrap w:val="0"/>
            <w:vAlign w:val="center"/>
          </w:tcPr>
          <w:p>
            <w:pPr>
              <w:spacing w:line="33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单价（元）</w:t>
            </w:r>
          </w:p>
        </w:tc>
        <w:tc>
          <w:tcPr>
            <w:tcW w:w="1389" w:type="dxa"/>
            <w:tcBorders>
              <w:top w:val="single" w:color="auto" w:sz="18" w:space="0"/>
              <w:bottom w:val="single" w:color="auto" w:sz="18" w:space="0"/>
              <w:right w:val="single" w:color="auto" w:sz="4" w:space="0"/>
            </w:tcBorders>
            <w:shd w:val="pct10" w:color="auto" w:fill="FFFFFF"/>
            <w:noWrap w:val="0"/>
            <w:vAlign w:val="center"/>
          </w:tcPr>
          <w:p>
            <w:pPr>
              <w:spacing w:line="33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noWrap w:val="0"/>
            <w:vAlign w:val="center"/>
          </w:tcPr>
          <w:p>
            <w:pPr>
              <w:spacing w:line="33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797" w:type="dxa"/>
            <w:tcBorders>
              <w:top w:val="nil"/>
              <w:bottom w:val="single" w:color="auto" w:sz="4" w:space="0"/>
            </w:tcBorders>
            <w:noWrap w:val="0"/>
            <w:vAlign w:val="center"/>
          </w:tcPr>
          <w:p>
            <w:pPr>
              <w:spacing w:line="330" w:lineRule="atLeast"/>
              <w:jc w:val="center"/>
              <w:rPr>
                <w:rFonts w:hint="eastAsia" w:ascii="宋体" w:hAnsi="宋体" w:eastAsia="宋体" w:cs="宋体"/>
                <w:color w:val="auto"/>
                <w:sz w:val="24"/>
                <w:szCs w:val="24"/>
                <w:highlight w:val="none"/>
              </w:rPr>
            </w:pPr>
          </w:p>
        </w:tc>
        <w:tc>
          <w:tcPr>
            <w:tcW w:w="2352" w:type="dxa"/>
            <w:tcBorders>
              <w:top w:val="nil"/>
              <w:bottom w:val="single" w:color="auto" w:sz="4" w:space="0"/>
            </w:tcBorders>
            <w:noWrap w:val="0"/>
            <w:vAlign w:val="center"/>
          </w:tcPr>
          <w:p>
            <w:pPr>
              <w:spacing w:line="330" w:lineRule="atLeast"/>
              <w:rPr>
                <w:rFonts w:hint="eastAsia" w:ascii="宋体" w:hAnsi="宋体" w:eastAsia="宋体" w:cs="宋体"/>
                <w:color w:val="auto"/>
                <w:sz w:val="24"/>
                <w:szCs w:val="24"/>
                <w:highlight w:val="none"/>
              </w:rPr>
            </w:pPr>
          </w:p>
        </w:tc>
        <w:tc>
          <w:tcPr>
            <w:tcW w:w="682" w:type="dxa"/>
            <w:tcBorders>
              <w:top w:val="nil"/>
              <w:bottom w:val="single" w:color="auto" w:sz="4" w:space="0"/>
            </w:tcBorders>
            <w:noWrap w:val="0"/>
            <w:vAlign w:val="center"/>
          </w:tcPr>
          <w:p>
            <w:pPr>
              <w:spacing w:line="330" w:lineRule="atLeast"/>
              <w:ind w:firstLine="118" w:firstLineChars="49"/>
              <w:rPr>
                <w:rFonts w:hint="eastAsia" w:ascii="宋体" w:hAnsi="宋体" w:eastAsia="宋体" w:cs="宋体"/>
                <w:b/>
                <w:color w:val="auto"/>
                <w:sz w:val="24"/>
                <w:szCs w:val="24"/>
                <w:highlight w:val="none"/>
              </w:rPr>
            </w:pPr>
          </w:p>
        </w:tc>
        <w:tc>
          <w:tcPr>
            <w:tcW w:w="1389" w:type="dxa"/>
            <w:tcBorders>
              <w:top w:val="nil"/>
              <w:bottom w:val="single" w:color="auto" w:sz="4" w:space="0"/>
              <w:right w:val="single" w:color="auto" w:sz="4" w:space="0"/>
            </w:tcBorders>
            <w:noWrap w:val="0"/>
            <w:vAlign w:val="center"/>
          </w:tcPr>
          <w:p>
            <w:pPr>
              <w:spacing w:line="330" w:lineRule="atLeast"/>
              <w:jc w:val="center"/>
              <w:rPr>
                <w:rFonts w:hint="eastAsia" w:ascii="宋体" w:hAnsi="宋体" w:eastAsia="宋体" w:cs="宋体"/>
                <w:b/>
                <w:color w:val="auto"/>
                <w:sz w:val="24"/>
                <w:szCs w:val="24"/>
                <w:highlight w:val="none"/>
              </w:rPr>
            </w:pPr>
          </w:p>
        </w:tc>
        <w:tc>
          <w:tcPr>
            <w:tcW w:w="1389" w:type="dxa"/>
            <w:tcBorders>
              <w:top w:val="nil"/>
              <w:bottom w:val="single" w:color="auto" w:sz="4" w:space="0"/>
              <w:right w:val="single" w:color="auto" w:sz="4" w:space="0"/>
            </w:tcBorders>
            <w:noWrap w:val="0"/>
            <w:vAlign w:val="center"/>
          </w:tcPr>
          <w:p>
            <w:pPr>
              <w:spacing w:line="330" w:lineRule="atLeast"/>
              <w:rPr>
                <w:rFonts w:hint="eastAsia" w:ascii="宋体" w:hAnsi="宋体" w:eastAsia="宋体" w:cs="宋体"/>
                <w:color w:val="auto"/>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noWrap w:val="0"/>
            <w:vAlign w:val="center"/>
          </w:tcPr>
          <w:p>
            <w:pPr>
              <w:spacing w:line="330" w:lineRule="atLeas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总价（人民币大写）：</w:t>
            </w:r>
            <w:r>
              <w:rPr>
                <w:rFonts w:hint="eastAsia" w:ascii="宋体" w:hAnsi="宋体" w:eastAsia="宋体" w:cs="宋体"/>
                <w:color w:val="auto"/>
                <w:sz w:val="24"/>
                <w:szCs w:val="24"/>
                <w:highlight w:val="none"/>
              </w:rPr>
              <w:t>合计（小写）：元</w:t>
            </w:r>
          </w:p>
          <w:p>
            <w:pPr>
              <w:spacing w:line="33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本合同总价款是货物设计、制造、包装、仓储、运输、安装及验收合格之前以及保修期内备品备件发生的所有含税费用。本合同总价款还包含乙方应当提供的伴随服务/售后服务费用。</w:t>
            </w:r>
          </w:p>
        </w:tc>
      </w:tr>
    </w:tbl>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二、结算方式</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2.1结算方式：（请根据实际情况选择和修改）</w:t>
      </w:r>
    </w:p>
    <w:p>
      <w:pPr>
        <w:spacing w:after="0" w:line="360" w:lineRule="auto"/>
        <w:ind w:firstLine="7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A【国产设备及进口设备（非免税）】：</w:t>
      </w:r>
      <w:r>
        <w:rPr>
          <w:rFonts w:hint="eastAsia" w:ascii="宋体" w:hAnsi="宋体" w:eastAsia="宋体" w:cs="宋体"/>
          <w:color w:val="auto"/>
          <w:kern w:val="2"/>
          <w:sz w:val="24"/>
          <w:szCs w:val="24"/>
          <w:highlight w:val="none"/>
        </w:rPr>
        <w:t>货到安装后以30天为验收期限，验收合格支付90%货款，一年后支付</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%尾款（无息），</w:t>
      </w:r>
      <w:r>
        <w:rPr>
          <w:rFonts w:hint="eastAsia" w:ascii="宋体" w:hAnsi="宋体" w:eastAsia="宋体" w:cs="宋体"/>
          <w:color w:val="auto"/>
          <w:kern w:val="2"/>
          <w:sz w:val="24"/>
          <w:szCs w:val="24"/>
          <w:highlight w:val="none"/>
          <w:lang w:val="en-US" w:eastAsia="zh-CN"/>
        </w:rPr>
        <w:t>3年质保期后付2%尾款（无息），</w:t>
      </w:r>
      <w:r>
        <w:rPr>
          <w:rFonts w:hint="eastAsia" w:ascii="宋体" w:hAnsi="宋体" w:eastAsia="宋体" w:cs="宋体"/>
          <w:color w:val="auto"/>
          <w:kern w:val="2"/>
          <w:sz w:val="24"/>
          <w:szCs w:val="24"/>
          <w:highlight w:val="none"/>
        </w:rPr>
        <w:t>付款之前需收到乙方开具的合法有效的</w:t>
      </w:r>
      <w:r>
        <w:rPr>
          <w:rFonts w:hint="eastAsia" w:ascii="宋体" w:hAnsi="宋体" w:eastAsia="宋体" w:cs="宋体"/>
          <w:b/>
          <w:bCs/>
          <w:color w:val="auto"/>
          <w:kern w:val="2"/>
          <w:sz w:val="24"/>
          <w:szCs w:val="24"/>
          <w:highlight w:val="none"/>
        </w:rPr>
        <w:t>相应全额发票。</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B【进口设备（免税）】：根据委托代理进口协议，甲方与外贸代理公司(</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)进行结算。</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2.2当采购数量与实际使用数量不一致时，乙方应根据实际使用量供货，合同的最终结算金额按实际使用量乘以成交单价进行计算。</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2.3乙方指定账户信息：</w:t>
      </w:r>
    </w:p>
    <w:p>
      <w:pPr>
        <w:pStyle w:val="12"/>
        <w:spacing w:line="360" w:lineRule="auto"/>
        <w:ind w:left="440" w:leftChars="200" w:firstLine="120" w:firstLineChars="50"/>
        <w:jc w:val="left"/>
        <w:rPr>
          <w:rFonts w:hint="eastAsia" w:hAnsi="宋体" w:cs="宋体"/>
          <w:color w:val="auto"/>
          <w:sz w:val="24"/>
          <w:szCs w:val="24"/>
          <w:highlight w:val="none"/>
        </w:rPr>
      </w:pPr>
      <w:r>
        <w:rPr>
          <w:rFonts w:hint="eastAsia" w:hAnsi="宋体" w:cs="宋体"/>
          <w:color w:val="auto"/>
          <w:sz w:val="24"/>
          <w:szCs w:val="24"/>
          <w:highlight w:val="none"/>
        </w:rPr>
        <w:t>开户行：_______</w:t>
      </w:r>
      <w:r>
        <w:rPr>
          <w:rFonts w:hint="eastAsia" w:hAnsi="宋体" w:cs="宋体"/>
          <w:color w:val="auto"/>
          <w:sz w:val="24"/>
          <w:szCs w:val="24"/>
          <w:highlight w:val="none"/>
          <w:u w:val="single"/>
        </w:rPr>
        <w:t>_   __</w:t>
      </w:r>
    </w:p>
    <w:p>
      <w:pPr>
        <w:pStyle w:val="12"/>
        <w:spacing w:line="360" w:lineRule="auto"/>
        <w:ind w:left="440" w:leftChars="200" w:firstLine="120" w:firstLineChars="50"/>
        <w:jc w:val="left"/>
        <w:rPr>
          <w:rFonts w:hint="eastAsia" w:hAnsi="宋体" w:cs="宋体"/>
          <w:color w:val="auto"/>
          <w:sz w:val="24"/>
          <w:szCs w:val="24"/>
          <w:highlight w:val="none"/>
        </w:rPr>
      </w:pPr>
      <w:r>
        <w:rPr>
          <w:rFonts w:hint="eastAsia" w:hAnsi="宋体" w:cs="宋体"/>
          <w:color w:val="auto"/>
          <w:sz w:val="24"/>
          <w:szCs w:val="24"/>
          <w:highlight w:val="none"/>
        </w:rPr>
        <w:t>户名：  ________</w:t>
      </w:r>
      <w:r>
        <w:rPr>
          <w:rFonts w:hint="eastAsia" w:hAnsi="宋体" w:cs="宋体"/>
          <w:color w:val="auto"/>
          <w:sz w:val="24"/>
          <w:szCs w:val="24"/>
          <w:highlight w:val="none"/>
          <w:u w:val="single"/>
        </w:rPr>
        <w:t>_   __</w:t>
      </w:r>
    </w:p>
    <w:p>
      <w:pPr>
        <w:pStyle w:val="12"/>
        <w:spacing w:line="360" w:lineRule="auto"/>
        <w:ind w:left="440" w:leftChars="200" w:firstLine="120" w:firstLineChars="50"/>
        <w:jc w:val="left"/>
        <w:rPr>
          <w:rFonts w:hint="eastAsia" w:hAnsi="宋体" w:cs="宋体"/>
          <w:color w:val="auto"/>
          <w:sz w:val="24"/>
          <w:szCs w:val="24"/>
          <w:highlight w:val="none"/>
          <w:u w:val="single"/>
        </w:rPr>
      </w:pPr>
      <w:r>
        <w:rPr>
          <w:rFonts w:hint="eastAsia" w:hAnsi="宋体" w:cs="宋体"/>
          <w:color w:val="auto"/>
          <w:sz w:val="24"/>
          <w:szCs w:val="24"/>
          <w:highlight w:val="none"/>
        </w:rPr>
        <w:t>账号： _______________</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三、交付方式、时间及地点</w:t>
      </w:r>
    </w:p>
    <w:p>
      <w:pPr>
        <w:pStyle w:val="12"/>
        <w:snapToGrid w:val="0"/>
        <w:spacing w:line="360" w:lineRule="auto"/>
        <w:ind w:firstLine="480" w:firstLineChars="200"/>
        <w:jc w:val="left"/>
        <w:rPr>
          <w:rFonts w:hint="eastAsia" w:hAnsi="宋体" w:cs="宋体"/>
          <w:color w:val="auto"/>
          <w:sz w:val="24"/>
          <w:szCs w:val="24"/>
          <w:highlight w:val="none"/>
          <w:u w:val="single"/>
        </w:rPr>
      </w:pPr>
      <w:r>
        <w:rPr>
          <w:rFonts w:hint="eastAsia" w:hAnsi="宋体" w:cs="宋体"/>
          <w:color w:val="auto"/>
          <w:sz w:val="24"/>
          <w:szCs w:val="24"/>
          <w:highlight w:val="none"/>
        </w:rPr>
        <w:t>3.1交付方式：</w:t>
      </w:r>
      <w:r>
        <w:rPr>
          <w:rFonts w:hint="eastAsia" w:hAnsi="宋体" w:cs="宋体"/>
          <w:color w:val="auto"/>
          <w:sz w:val="24"/>
          <w:szCs w:val="24"/>
          <w:highlight w:val="none"/>
          <w:u w:val="single"/>
        </w:rPr>
        <w:t>乙方按甲方书面通知之日，运送至甲方指定地点，经甲方指定收货人书面签收，则为完成交付</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3.1交付时间：___________________</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3.2交付地点：___________________</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四、货物包装、发运及运输</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4.1 乙方应在货物发运前根据运输距离、防潮、防震、防锈和防破损装卸等要求进行相应的包装，以保证货物安全运达甲方指定地点。</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4.2 使用说明书、质量检验证明书、随配附件和工具以及清单一并附于货物内。</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4.3 乙方在货物发运手续办理完毕后24小时内或货到甲方48小时前通知甲方，以准备接货。</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4.4 货物在交付甲方前发生的风险均由乙方负责。</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五、</w:t>
      </w:r>
      <w:r>
        <w:rPr>
          <w:rFonts w:hint="eastAsia" w:hAnsi="宋体" w:cs="宋体"/>
          <w:b/>
          <w:color w:val="auto"/>
          <w:sz w:val="24"/>
          <w:szCs w:val="24"/>
          <w:highlight w:val="none"/>
        </w:rPr>
        <w:t>质量保证及售后服务</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5.3上述货物的质保期____年。（自交货验收合格次日起计算），因人为因素出现的故障不在免费保修范围内。</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5.4在质保期内，如在使用过程中发生质量问题，乙方在接到甲方通知后在_________小时内响应，并在小时内赶到甲方现场，免费予以排除故障、修复或者更换零部件。如未及时维修的，甲方委托他人维修，维修费从合同款中扣除或由乙方承担。</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5.5 在质保期内，乙方应对货物出现的质量及安全问题负责处理解决并承担一切费用。</w:t>
      </w:r>
    </w:p>
    <w:p>
      <w:pPr>
        <w:pStyle w:val="12"/>
        <w:spacing w:line="360" w:lineRule="auto"/>
        <w:ind w:firstLine="360" w:firstLineChars="150"/>
        <w:rPr>
          <w:rFonts w:hint="eastAsia" w:hAnsi="宋体" w:cs="宋体"/>
          <w:color w:val="auto"/>
          <w:sz w:val="24"/>
          <w:szCs w:val="24"/>
          <w:highlight w:val="none"/>
        </w:rPr>
      </w:pPr>
      <w:r>
        <w:rPr>
          <w:rFonts w:hint="eastAsia" w:hAnsi="宋体" w:cs="宋体"/>
          <w:color w:val="auto"/>
          <w:sz w:val="24"/>
          <w:szCs w:val="24"/>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六、调试和验收</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6.1 乙方交货前应对货物全面检查并对验收文件进行整理，列出清单提交甲方，检验的结果亦应随货物交甲方。</w:t>
      </w:r>
    </w:p>
    <w:p>
      <w:pPr>
        <w:pStyle w:val="12"/>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6.2 甲方对乙方提供的货物在使用前进行调试时，乙方需负责安装并培训甲方的使用操作人员，并协助甲方一起调试，直到符合技术要求。</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6.3 在安装、调试和验收过程中，如发现有漏件、缺件，乙方应无条件、无偿补齐，所发生的一切费用，视为已包含在投标时的投标报价中，且并不因此而影响交付甲方使用的时间。</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6.5 设备、材料安装、调试结束，甲、乙双方派员共同验收，达到验收标准则验收合格。验收完毕后出具验收结果报告并经双方签字确认；验收相关费用由乙方承担。</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七、技术资料</w:t>
      </w:r>
    </w:p>
    <w:p>
      <w:pPr>
        <w:pStyle w:val="12"/>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7.1乙方应按招标文件规定的时间向甲方提供使用货物的有关技术资料。</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八、知识产权</w:t>
      </w:r>
    </w:p>
    <w:p>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九、违约责任</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9.1 甲方无正当理由拒收货物的，甲方向乙方偿付拒收货款总值的万分之五违约金。甲方未按合同规定的时间和要求向乙方提供相关安装条件，乙方交付时间顺延。</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9.2 甲方无故迟延支付货款的,甲方应按逾期付款总额每日万分之五向乙方支付违约金。</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9.3 乙方逾期交付货物的，乙方应按逾期交货总额每日万分之五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9.4 乙方供给甲方的设备、材料及乙方自己的施工用具，进入甲方工地现场后的保管，由乙方负责，乙方在甲方工地现场安装、调试、验收人员的安全、保险、食宿和交通由乙方全权负责。</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9.7 本合同所有货物的制造及安装，都必须由乙方自己或投标文件中明确的单位承担，不得分包或者转包给其他单位，否则，甲方有权解除本合同，合同解除后，乙方还应向甲方支付合同总值5%的违约金。 </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9.8 乙方履行义务不符合合同约定时，甲方有权扣减本合同总金额的10%的货款，尾款不足10%的，乙方应当补足。</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十、不可抗力事件处理</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10.1 在合同有效期内，任何一方因不可抗力事件导致不能履行合同，则合同履行期可延长，其延长期与不可抗力影响期相同。</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10.2 不可抗力事件发生后，应立即通知对方，并寄送有关权威机构出具的证明。</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10.3 不可抗力事件延续30天以上，双方应通过友好协商，确定是否继续履行合同。</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十一、诉讼</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双方在执行合同中所发生的一切争议，应通过协商解决。如协商不成，双方均应向甲方所在地人民法院提起诉讼。</w:t>
      </w:r>
    </w:p>
    <w:p>
      <w:pPr>
        <w:pStyle w:val="12"/>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十二、合同生效及其它</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12.1招投标文件作为合同的附件，与本合同具有同等法律效力。合同经双方法定代表人或授权委托代表人签字、盖章后生效。</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12.2本合同未尽事宜，遵照《中华人民共和国民法典》有关条文执行。</w:t>
      </w:r>
    </w:p>
    <w:p>
      <w:pPr>
        <w:pStyle w:val="12"/>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12.3 本合同正本一式陆份，甲方伍份，乙方壹份，具有同等法律效力。</w:t>
      </w: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12.4 其他：。</w:t>
      </w:r>
    </w:p>
    <w:p>
      <w:pPr>
        <w:pStyle w:val="12"/>
        <w:spacing w:line="360" w:lineRule="auto"/>
        <w:ind w:firstLine="480" w:firstLineChars="200"/>
        <w:rPr>
          <w:rFonts w:hint="eastAsia" w:hAnsi="宋体" w:cs="宋体"/>
          <w:color w:val="auto"/>
          <w:sz w:val="24"/>
          <w:szCs w:val="24"/>
          <w:highlight w:val="none"/>
        </w:rPr>
      </w:pPr>
    </w:p>
    <w:p>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甲方： 南京医科大学                         乙方： </w:t>
      </w:r>
    </w:p>
    <w:p>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地址：南京市江宁区龙眠大道101号            地址： </w:t>
      </w:r>
    </w:p>
    <w:p>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法定代表人或授权代表：                      法定代表人或授权代表：</w:t>
      </w:r>
    </w:p>
    <w:p>
      <w:pPr>
        <w:pStyle w:val="12"/>
        <w:spacing w:line="360" w:lineRule="auto"/>
        <w:rPr>
          <w:rFonts w:hint="eastAsia" w:hAnsi="宋体" w:cs="宋体"/>
          <w:color w:val="auto"/>
          <w:sz w:val="24"/>
          <w:szCs w:val="24"/>
          <w:highlight w:val="none"/>
        </w:rPr>
      </w:pPr>
      <w:r>
        <w:rPr>
          <w:rFonts w:hint="eastAsia" w:hAnsi="宋体" w:cs="宋体"/>
          <w:color w:val="auto"/>
          <w:sz w:val="24"/>
          <w:szCs w:val="24"/>
          <w:highlight w:val="none"/>
        </w:rPr>
        <w:t>联系电话：                                  联系电话：</w:t>
      </w:r>
    </w:p>
    <w:bookmarkEnd w:id="1"/>
    <w:p>
      <w:pPr>
        <w:rPr>
          <w:rFonts w:hint="eastAsia" w:ascii="宋体" w:hAnsi="宋体" w:eastAsia="宋体" w:cs="宋体"/>
          <w:color w:val="auto"/>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80"/>
    </w:pPr>
    <w:r>
      <mc:AlternateContent>
        <mc:Choice Requires="wps">
          <w:drawing>
            <wp:anchor distT="0" distB="0" distL="114300" distR="114300" simplePos="0" relativeHeight="251659264" behindDoc="0" locked="0" layoutInCell="1" allowOverlap="1">
              <wp:simplePos x="0" y="0"/>
              <wp:positionH relativeFrom="margin">
                <wp:posOffset>2705100</wp:posOffset>
              </wp:positionH>
              <wp:positionV relativeFrom="paragraph">
                <wp:posOffset>1270</wp:posOffset>
              </wp:positionV>
              <wp:extent cx="266700" cy="15303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6700" cy="153035"/>
                      </a:xfrm>
                      <a:prstGeom prst="rect">
                        <a:avLst/>
                      </a:prstGeom>
                      <a:noFill/>
                      <a:ln>
                        <a:noFill/>
                      </a:ln>
                      <a:effectLst/>
                    </wps:spPr>
                    <wps:txbx>
                      <w:txbxContent>
                        <w:p>
                          <w:pPr>
                            <w:rPr>
                              <w:sz w:val="18"/>
                            </w:rPr>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spAutoFit/>
                    </wps:bodyPr>
                  </wps:wsp>
                </a:graphicData>
              </a:graphic>
            </wp:anchor>
          </w:drawing>
        </mc:Choice>
        <mc:Fallback>
          <w:pict>
            <v:shape id="文本框 2" o:spid="_x0000_s1026" o:spt="202" type="#_x0000_t202" style="position:absolute;left:0pt;margin-left:213pt;margin-top:0.1pt;height:12.05pt;width:21pt;mso-position-horizontal-relative:margin;z-index:251659264;mso-width-relative:page;mso-height-relative:page;" filled="f" stroked="f" coordsize="21600,21600" o:gfxdata="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SjGdMAAAAHAQAADwAAAAAAAAABACAAAAAi&#10;AAAAZHJzL2Rvd25yZXYueG1sUEsBAhQAFAAAAAgAh07iQDeheLUPAgAAEgQAAA4AAAAAAAAAAQAg&#10;AAAAIgEAAGRycy9lMm9Eb2MueG1sUEsFBgAAAAAGAAYAWQEAAKMFAAAAAA==&#10;">
              <v:fill on="f" focussize="0,0"/>
              <v:stroke on="f"/>
              <v:imagedata o:title=""/>
              <o:lock v:ext="edit" aspectratio="f"/>
              <v:textbox inset="0mm,0mm,0mm,0mm" style="mso-fit-shape-to-text:t;">
                <w:txbxContent>
                  <w:p>
                    <w:pPr>
                      <w:rPr>
                        <w:sz w:val="18"/>
                      </w:rPr>
                    </w:pPr>
                    <w:r>
                      <w:fldChar w:fldCharType="begin"/>
                    </w:r>
                    <w:r>
                      <w:instrText xml:space="preserve"> PAGE  \* MERGEFORMAT </w:instrText>
                    </w:r>
                    <w:r>
                      <w:fldChar w:fldCharType="separate"/>
                    </w:r>
                    <w:r>
                      <w:t>2</w:t>
                    </w:r>
                    <w:r>
                      <w:fldChar w:fldCharType="end"/>
                    </w:r>
                  </w:p>
                </w:txbxContent>
              </v:textbox>
            </v:shape>
          </w:pict>
        </mc:Fallback>
      </mc:AlternateContent>
    </w:r>
  </w:p>
  <w:p>
    <w:pPr>
      <w:pStyle w:val="8"/>
      <w:spacing w:line="14" w:lineRule="auto"/>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27"/>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00406FA9"/>
    <w:rsid w:val="00017996"/>
    <w:rsid w:val="00042359"/>
    <w:rsid w:val="000673AE"/>
    <w:rsid w:val="000678D9"/>
    <w:rsid w:val="000F1118"/>
    <w:rsid w:val="001B4163"/>
    <w:rsid w:val="001E3971"/>
    <w:rsid w:val="001F4D83"/>
    <w:rsid w:val="002047D9"/>
    <w:rsid w:val="00212DF9"/>
    <w:rsid w:val="002367A7"/>
    <w:rsid w:val="002405EC"/>
    <w:rsid w:val="002D1616"/>
    <w:rsid w:val="00363E22"/>
    <w:rsid w:val="00386229"/>
    <w:rsid w:val="003A080C"/>
    <w:rsid w:val="003D3E5A"/>
    <w:rsid w:val="003E2F64"/>
    <w:rsid w:val="003F6823"/>
    <w:rsid w:val="00406FA9"/>
    <w:rsid w:val="00413F8F"/>
    <w:rsid w:val="004614FD"/>
    <w:rsid w:val="00486354"/>
    <w:rsid w:val="004A591F"/>
    <w:rsid w:val="004C5D5B"/>
    <w:rsid w:val="004F5DBF"/>
    <w:rsid w:val="00517668"/>
    <w:rsid w:val="005607F6"/>
    <w:rsid w:val="005B5BB6"/>
    <w:rsid w:val="00640C6C"/>
    <w:rsid w:val="006C1D83"/>
    <w:rsid w:val="00776434"/>
    <w:rsid w:val="00793D86"/>
    <w:rsid w:val="007E14BC"/>
    <w:rsid w:val="007E239E"/>
    <w:rsid w:val="007E2926"/>
    <w:rsid w:val="008573B4"/>
    <w:rsid w:val="00887CED"/>
    <w:rsid w:val="008C7C29"/>
    <w:rsid w:val="009164A6"/>
    <w:rsid w:val="009C324F"/>
    <w:rsid w:val="009D0A6F"/>
    <w:rsid w:val="00A65610"/>
    <w:rsid w:val="00AB75F3"/>
    <w:rsid w:val="00B04895"/>
    <w:rsid w:val="00B555C1"/>
    <w:rsid w:val="00B647D5"/>
    <w:rsid w:val="00BB59D5"/>
    <w:rsid w:val="00BE6BDF"/>
    <w:rsid w:val="00CA6FD2"/>
    <w:rsid w:val="00CC207F"/>
    <w:rsid w:val="00D368BB"/>
    <w:rsid w:val="00D869B3"/>
    <w:rsid w:val="00DE4796"/>
    <w:rsid w:val="00E114B1"/>
    <w:rsid w:val="00E70CA4"/>
    <w:rsid w:val="00EA5067"/>
    <w:rsid w:val="00EC686D"/>
    <w:rsid w:val="00EF1796"/>
    <w:rsid w:val="00F3108D"/>
    <w:rsid w:val="00F5399A"/>
    <w:rsid w:val="00F64DE2"/>
    <w:rsid w:val="00F808A6"/>
    <w:rsid w:val="00FB4396"/>
    <w:rsid w:val="00FB4400"/>
    <w:rsid w:val="043056A1"/>
    <w:rsid w:val="07C92EC5"/>
    <w:rsid w:val="0F690996"/>
    <w:rsid w:val="171210BF"/>
    <w:rsid w:val="1A522A9E"/>
    <w:rsid w:val="1AFC4087"/>
    <w:rsid w:val="1CDA46DA"/>
    <w:rsid w:val="232A1857"/>
    <w:rsid w:val="2A445336"/>
    <w:rsid w:val="2C563EB8"/>
    <w:rsid w:val="303501AE"/>
    <w:rsid w:val="305C4322"/>
    <w:rsid w:val="309418B1"/>
    <w:rsid w:val="348440CB"/>
    <w:rsid w:val="37B77CFD"/>
    <w:rsid w:val="42D5427A"/>
    <w:rsid w:val="46231B26"/>
    <w:rsid w:val="493275DC"/>
    <w:rsid w:val="4FF06BB7"/>
    <w:rsid w:val="52CC1FEF"/>
    <w:rsid w:val="52F21E51"/>
    <w:rsid w:val="59575BF7"/>
    <w:rsid w:val="5CF25A42"/>
    <w:rsid w:val="5F8D415A"/>
    <w:rsid w:val="60B565C1"/>
    <w:rsid w:val="61DC44DF"/>
    <w:rsid w:val="62623189"/>
    <w:rsid w:val="64F54813"/>
    <w:rsid w:val="72556EE1"/>
    <w:rsid w:val="74F45803"/>
    <w:rsid w:val="75A13F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link w:val="34"/>
    <w:qFormat/>
    <w:uiPriority w:val="99"/>
    <w:pPr>
      <w:keepNext/>
      <w:widowControl w:val="0"/>
      <w:adjustRightInd/>
      <w:snapToGrid/>
      <w:spacing w:after="0"/>
      <w:jc w:val="center"/>
      <w:outlineLvl w:val="0"/>
    </w:pPr>
    <w:rPr>
      <w:rFonts w:ascii="楷体_GB2312" w:hAnsi="Times New Roman" w:eastAsia="楷体_GB2312"/>
      <w:kern w:val="2"/>
      <w:sz w:val="28"/>
      <w:szCs w:val="20"/>
    </w:rPr>
  </w:style>
  <w:style w:type="paragraph" w:styleId="4">
    <w:name w:val="heading 2"/>
    <w:basedOn w:val="1"/>
    <w:next w:val="1"/>
    <w:qFormat/>
    <w:uiPriority w:val="99"/>
    <w:pPr>
      <w:keepNext/>
      <w:keepLines/>
      <w:spacing w:before="260" w:after="260" w:line="416" w:lineRule="auto"/>
      <w:outlineLvl w:val="1"/>
    </w:pPr>
    <w:rPr>
      <w:rFonts w:ascii="Cambria" w:hAnsi="Cambria" w:eastAsia="宋体"/>
      <w:b/>
      <w:sz w:val="32"/>
      <w:szCs w:val="20"/>
    </w:rPr>
  </w:style>
  <w:style w:type="paragraph" w:styleId="5">
    <w:name w:val="heading 3"/>
    <w:basedOn w:val="1"/>
    <w:next w:val="1"/>
    <w:link w:val="35"/>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widowControl/>
      <w:adjustRightInd w:val="0"/>
      <w:snapToGrid w:val="0"/>
      <w:spacing w:after="200"/>
      <w:ind w:left="600" w:leftChars="600"/>
      <w:jc w:val="left"/>
    </w:pPr>
    <w:rPr>
      <w:rFonts w:ascii="Tahoma" w:hAnsi="Tahoma" w:eastAsia="微软雅黑" w:cs="Times New Roman"/>
      <w:kern w:val="0"/>
      <w:sz w:val="22"/>
      <w:szCs w:val="22"/>
    </w:rPr>
  </w:style>
  <w:style w:type="paragraph" w:styleId="6">
    <w:name w:val="Normal Indent"/>
    <w:basedOn w:val="1"/>
    <w:qFormat/>
    <w:uiPriority w:val="99"/>
    <w:pPr>
      <w:widowControl w:val="0"/>
      <w:adjustRightInd/>
      <w:snapToGrid/>
      <w:spacing w:after="0"/>
      <w:ind w:firstLine="420"/>
      <w:jc w:val="both"/>
    </w:pPr>
    <w:rPr>
      <w:rFonts w:ascii="Times New Roman" w:hAnsi="Times New Roman" w:eastAsia="宋体"/>
      <w:kern w:val="2"/>
      <w:sz w:val="21"/>
      <w:szCs w:val="20"/>
    </w:rPr>
  </w:style>
  <w:style w:type="paragraph" w:styleId="7">
    <w:name w:val="annotation text"/>
    <w:basedOn w:val="1"/>
    <w:link w:val="32"/>
    <w:uiPriority w:val="0"/>
  </w:style>
  <w:style w:type="paragraph" w:styleId="8">
    <w:name w:val="Body Text"/>
    <w:basedOn w:val="1"/>
    <w:qFormat/>
    <w:uiPriority w:val="0"/>
    <w:rPr>
      <w:rFonts w:hint="eastAsia" w:ascii="楷体_GB2312" w:hAnsi="Arial" w:eastAsia="楷体_GB2312" w:cs="Times New Roman"/>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qFormat/>
    <w:uiPriority w:val="0"/>
    <w:pPr>
      <w:spacing w:after="120"/>
      <w:ind w:left="1440" w:leftChars="700" w:right="1440" w:rightChars="700"/>
    </w:pPr>
  </w:style>
  <w:style w:type="paragraph" w:styleId="12">
    <w:name w:val="Plain Text"/>
    <w:basedOn w:val="1"/>
    <w:qFormat/>
    <w:uiPriority w:val="99"/>
    <w:pPr>
      <w:widowControl w:val="0"/>
      <w:adjustRightInd/>
      <w:snapToGrid/>
      <w:spacing w:after="0"/>
      <w:jc w:val="both"/>
    </w:pPr>
    <w:rPr>
      <w:rFonts w:ascii="宋体" w:hAnsi="Courier New" w:eastAsia="宋体"/>
      <w:kern w:val="2"/>
      <w:sz w:val="21"/>
      <w:szCs w:val="20"/>
    </w:rPr>
  </w:style>
  <w:style w:type="paragraph" w:styleId="13">
    <w:name w:val="Balloon Text"/>
    <w:basedOn w:val="1"/>
    <w:link w:val="24"/>
    <w:uiPriority w:val="0"/>
    <w:pPr>
      <w:spacing w:after="0"/>
    </w:pPr>
    <w:rPr>
      <w:sz w:val="18"/>
      <w:szCs w:val="18"/>
    </w:rPr>
  </w:style>
  <w:style w:type="paragraph" w:styleId="14">
    <w:name w:val="footer"/>
    <w:basedOn w:val="1"/>
    <w:link w:val="31"/>
    <w:qFormat/>
    <w:uiPriority w:val="0"/>
    <w:pPr>
      <w:tabs>
        <w:tab w:val="center" w:pos="4153"/>
        <w:tab w:val="right" w:pos="8306"/>
      </w:tabs>
    </w:pPr>
    <w:rPr>
      <w:sz w:val="18"/>
      <w:szCs w:val="18"/>
    </w:rPr>
  </w:style>
  <w:style w:type="paragraph" w:styleId="15">
    <w:name w:val="header"/>
    <w:basedOn w:val="1"/>
    <w:link w:val="30"/>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0"/>
    <w:pPr>
      <w:spacing w:before="120" w:after="120"/>
      <w:jc w:val="left"/>
    </w:pPr>
    <w:rPr>
      <w:rFonts w:cs="Times New Roman"/>
      <w:b/>
      <w:caps/>
      <w:sz w:val="20"/>
      <w:szCs w:val="20"/>
    </w:rPr>
  </w:style>
  <w:style w:type="paragraph" w:styleId="17">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8">
    <w:name w:val="annotation subject"/>
    <w:basedOn w:val="7"/>
    <w:next w:val="7"/>
    <w:link w:val="33"/>
    <w:qFormat/>
    <w:uiPriority w:val="0"/>
    <w:rPr>
      <w:b/>
      <w:bCs/>
    </w:rPr>
  </w:style>
  <w:style w:type="paragraph" w:styleId="19">
    <w:name w:val="Body Text First Indent 2"/>
    <w:basedOn w:val="9"/>
    <w:next w:val="1"/>
    <w:qFormat/>
    <w:uiPriority w:val="99"/>
    <w:pPr>
      <w:widowControl w:val="0"/>
      <w:ind w:firstLine="420" w:firstLineChars="200"/>
      <w:jc w:val="both"/>
    </w:pPr>
    <w:rPr>
      <w:rFonts w:ascii="Calibri" w:hAnsi="Calibri" w:cs="Calibri"/>
      <w:kern w:val="2"/>
      <w:sz w:val="21"/>
    </w:rPr>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批注框文本 字符"/>
    <w:link w:val="13"/>
    <w:uiPriority w:val="0"/>
    <w:rPr>
      <w:rFonts w:ascii="Tahoma" w:hAnsi="Tahoma" w:eastAsia="微软雅黑"/>
      <w:sz w:val="18"/>
      <w:szCs w:val="18"/>
    </w:rPr>
  </w:style>
  <w:style w:type="paragraph" w:customStyle="1" w:styleId="25">
    <w:name w:val="普通正文"/>
    <w:basedOn w:val="1"/>
    <w:qFormat/>
    <w:uiPriority w:val="99"/>
    <w:pPr>
      <w:widowControl w:val="0"/>
      <w:snapToGrid/>
      <w:spacing w:before="120" w:after="120" w:line="360" w:lineRule="auto"/>
      <w:ind w:firstLine="480"/>
      <w:textAlignment w:val="baseline"/>
    </w:pPr>
    <w:rPr>
      <w:rFonts w:ascii="Arial" w:hAnsi="Arial" w:eastAsia="宋体"/>
      <w:sz w:val="24"/>
      <w:szCs w:val="24"/>
    </w:rPr>
  </w:style>
  <w:style w:type="paragraph" w:styleId="26">
    <w:name w:val="List Paragraph"/>
    <w:basedOn w:val="1"/>
    <w:qFormat/>
    <w:uiPriority w:val="34"/>
    <w:pPr>
      <w:ind w:firstLine="420" w:firstLineChars="200"/>
    </w:pPr>
  </w:style>
  <w:style w:type="paragraph" w:customStyle="1" w:styleId="27">
    <w:name w:val="二级目录"/>
    <w:next w:val="1"/>
    <w:qFormat/>
    <w:uiPriority w:val="99"/>
    <w:pPr>
      <w:numPr>
        <w:ilvl w:val="0"/>
        <w:numId w:val="1"/>
      </w:numPr>
      <w:outlineLvl w:val="1"/>
    </w:pPr>
    <w:rPr>
      <w:rFonts w:ascii="Times New Roman" w:hAnsi="Times New Roman" w:eastAsia="宋体" w:cs="Times New Roman"/>
      <w:b/>
      <w:bCs/>
      <w:kern w:val="2"/>
      <w:sz w:val="28"/>
      <w:szCs w:val="28"/>
      <w:lang w:val="en-US" w:eastAsia="zh-CN" w:bidi="ar-SA"/>
    </w:rPr>
  </w:style>
  <w:style w:type="paragraph" w:customStyle="1" w:styleId="28">
    <w:name w:val="Body text|1"/>
    <w:basedOn w:val="1"/>
    <w:qFormat/>
    <w:uiPriority w:val="0"/>
    <w:pPr>
      <w:adjustRightInd w:val="0"/>
      <w:snapToGrid w:val="0"/>
      <w:spacing w:after="270" w:line="590" w:lineRule="exact"/>
      <w:ind w:left="190" w:firstLine="650"/>
      <w:jc w:val="left"/>
    </w:pPr>
    <w:rPr>
      <w:rFonts w:hint="eastAsia" w:ascii="宋体" w:hAnsi="宋体"/>
      <w:kern w:val="0"/>
      <w:sz w:val="22"/>
      <w:szCs w:val="22"/>
    </w:rPr>
  </w:style>
  <w:style w:type="paragraph" w:customStyle="1" w:styleId="29">
    <w:name w:val="Char1"/>
    <w:basedOn w:val="1"/>
    <w:qFormat/>
    <w:uiPriority w:val="99"/>
    <w:pPr>
      <w:widowControl w:val="0"/>
      <w:tabs>
        <w:tab w:val="left" w:pos="360"/>
      </w:tabs>
      <w:adjustRightInd/>
      <w:snapToGrid/>
      <w:spacing w:after="0"/>
      <w:ind w:firstLine="200" w:firstLineChars="200"/>
      <w:jc w:val="both"/>
    </w:pPr>
    <w:rPr>
      <w:rFonts w:ascii="Times New Roman" w:hAnsi="Times New Roman" w:eastAsia="宋体"/>
      <w:kern w:val="2"/>
      <w:sz w:val="28"/>
      <w:szCs w:val="30"/>
    </w:rPr>
  </w:style>
  <w:style w:type="character" w:customStyle="1" w:styleId="30">
    <w:name w:val="页眉 字符"/>
    <w:link w:val="15"/>
    <w:uiPriority w:val="0"/>
    <w:rPr>
      <w:rFonts w:ascii="Tahoma" w:hAnsi="Tahoma" w:eastAsia="微软雅黑"/>
      <w:sz w:val="18"/>
      <w:szCs w:val="18"/>
    </w:rPr>
  </w:style>
  <w:style w:type="character" w:customStyle="1" w:styleId="31">
    <w:name w:val="页脚 字符"/>
    <w:link w:val="14"/>
    <w:qFormat/>
    <w:uiPriority w:val="0"/>
    <w:rPr>
      <w:rFonts w:ascii="Tahoma" w:hAnsi="Tahoma" w:eastAsia="微软雅黑"/>
      <w:sz w:val="18"/>
      <w:szCs w:val="18"/>
    </w:rPr>
  </w:style>
  <w:style w:type="character" w:customStyle="1" w:styleId="32">
    <w:name w:val="批注文字 字符"/>
    <w:link w:val="7"/>
    <w:qFormat/>
    <w:uiPriority w:val="0"/>
    <w:rPr>
      <w:rFonts w:ascii="Tahoma" w:hAnsi="Tahoma" w:eastAsia="微软雅黑"/>
      <w:sz w:val="22"/>
      <w:szCs w:val="22"/>
    </w:rPr>
  </w:style>
  <w:style w:type="character" w:customStyle="1" w:styleId="33">
    <w:name w:val="批注主题 字符"/>
    <w:link w:val="18"/>
    <w:uiPriority w:val="0"/>
    <w:rPr>
      <w:rFonts w:ascii="Tahoma" w:hAnsi="Tahoma" w:eastAsia="微软雅黑"/>
      <w:b/>
      <w:bCs/>
      <w:sz w:val="22"/>
      <w:szCs w:val="22"/>
    </w:rPr>
  </w:style>
  <w:style w:type="character" w:customStyle="1" w:styleId="34">
    <w:name w:val="标题 1 字符"/>
    <w:link w:val="3"/>
    <w:qFormat/>
    <w:uiPriority w:val="99"/>
    <w:rPr>
      <w:rFonts w:ascii="楷体_GB2312" w:hAnsi="Times New Roman" w:eastAsia="楷体_GB2312"/>
      <w:kern w:val="2"/>
      <w:sz w:val="28"/>
    </w:rPr>
  </w:style>
  <w:style w:type="character" w:customStyle="1" w:styleId="35">
    <w:name w:val="标题 3 字符"/>
    <w:link w:val="5"/>
    <w:semiHidden/>
    <w:qFormat/>
    <w:uiPriority w:val="0"/>
    <w:rPr>
      <w:rFonts w:ascii="Tahoma" w:hAnsi="Tahoma" w:eastAsia="微软雅黑"/>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13139</Words>
  <Characters>14066</Characters>
  <Lines>113</Lines>
  <Paragraphs>31</Paragraphs>
  <TotalTime>6</TotalTime>
  <ScaleCrop>false</ScaleCrop>
  <LinksUpToDate>false</LinksUpToDate>
  <CharactersWithSpaces>14581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2022-05-03T06:39:00Z</dcterms:created>
  <dc:creator>user</dc:creator>
  <cp:lastModifiedBy>admin</cp:lastModifiedBy>
  <dcterms:modified xsi:type="dcterms:W3CDTF">2022-05-04T06:10:02Z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D4A2B729FE7346AEAE693A10103A691E</vt:lpwstr>
  </property>
</Properties>
</file>