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7"/>
        <w:ind w:firstLine="0"/>
        <w:jc w:val="center"/>
        <w:rPr>
          <w:rFonts w:eastAsia="黑体"/>
          <w:b/>
          <w:bCs/>
          <w:sz w:val="84"/>
        </w:rPr>
      </w:pPr>
    </w:p>
    <w:p>
      <w:pPr>
        <w:pStyle w:val="27"/>
        <w:ind w:firstLine="0"/>
        <w:jc w:val="center"/>
        <w:rPr>
          <w:rFonts w:eastAsia="黑体"/>
          <w:b/>
          <w:bCs/>
          <w:sz w:val="84"/>
        </w:rPr>
      </w:pPr>
    </w:p>
    <w:p>
      <w:pPr>
        <w:pStyle w:val="27"/>
        <w:ind w:firstLine="0"/>
        <w:jc w:val="center"/>
        <w:rPr>
          <w:rFonts w:eastAsia="黑体"/>
          <w:b/>
          <w:bCs/>
          <w:sz w:val="84"/>
        </w:rPr>
      </w:pPr>
      <w:r>
        <w:rPr>
          <w:rFonts w:hint="eastAsia" w:eastAsia="黑体"/>
          <w:b/>
          <w:bCs/>
          <w:sz w:val="84"/>
        </w:rPr>
        <w:t>招　标　文　件</w:t>
      </w:r>
    </w:p>
    <w:p>
      <w:pPr>
        <w:pStyle w:val="27"/>
        <w:ind w:firstLine="2409" w:firstLineChars="750"/>
        <w:rPr>
          <w:b/>
          <w:bCs/>
          <w:sz w:val="32"/>
        </w:rPr>
      </w:pPr>
    </w:p>
    <w:p>
      <w:pPr>
        <w:pStyle w:val="27"/>
        <w:ind w:firstLine="2409" w:firstLineChars="750"/>
        <w:rPr>
          <w:b/>
          <w:bCs/>
          <w:sz w:val="32"/>
        </w:rPr>
      </w:pPr>
    </w:p>
    <w:p>
      <w:pPr>
        <w:pStyle w:val="27"/>
        <w:ind w:firstLine="0"/>
        <w:jc w:val="center"/>
        <w:rPr>
          <w:rFonts w:eastAsiaTheme="minorEastAsia"/>
          <w:b/>
          <w:bCs/>
          <w:sz w:val="32"/>
          <w:szCs w:val="32"/>
        </w:rPr>
      </w:pPr>
      <w:r>
        <w:rPr>
          <w:rFonts w:hint="eastAsia"/>
          <w:b/>
          <w:bCs/>
          <w:sz w:val="32"/>
        </w:rPr>
        <w:t>项目名称：南京医科大学新药研发-新型抗脑卒中药物的设计、合成与药效评价虚拟实验开发服务</w:t>
      </w:r>
    </w:p>
    <w:p>
      <w:pPr>
        <w:pStyle w:val="27"/>
        <w:ind w:firstLine="1606" w:firstLineChars="500"/>
        <w:rPr>
          <w:rFonts w:hint="default" w:eastAsia="宋体"/>
          <w:b/>
          <w:bCs/>
          <w:sz w:val="32"/>
          <w:lang w:val="en-US" w:eastAsia="zh-CN"/>
        </w:rPr>
      </w:pPr>
      <w:r>
        <w:rPr>
          <w:rFonts w:hint="eastAsia"/>
          <w:b/>
          <w:bCs/>
          <w:sz w:val="32"/>
        </w:rPr>
        <w:t>项目编号：</w:t>
      </w:r>
      <w:r>
        <w:rPr>
          <w:rFonts w:hint="eastAsia"/>
          <w:b/>
          <w:bCs/>
          <w:sz w:val="32"/>
          <w:highlight w:val="none"/>
        </w:rPr>
        <w:t>NJMUZB30120190</w:t>
      </w:r>
      <w:r>
        <w:rPr>
          <w:rFonts w:hint="eastAsia"/>
          <w:b/>
          <w:bCs/>
          <w:sz w:val="32"/>
          <w:highlight w:val="none"/>
          <w:lang w:val="en-US" w:eastAsia="zh-CN"/>
        </w:rPr>
        <w:t>50</w:t>
      </w: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ind w:firstLine="0"/>
        <w:jc w:val="center"/>
        <w:rPr>
          <w:b/>
          <w:bCs/>
          <w:sz w:val="32"/>
        </w:rPr>
      </w:pPr>
    </w:p>
    <w:p>
      <w:pPr>
        <w:pStyle w:val="27"/>
        <w:ind w:firstLine="0"/>
        <w:jc w:val="center"/>
        <w:rPr>
          <w:b/>
          <w:bCs/>
          <w:sz w:val="32"/>
        </w:rPr>
      </w:pPr>
      <w:r>
        <w:rPr>
          <w:rFonts w:hint="eastAsia"/>
          <w:b/>
          <w:bCs/>
          <w:sz w:val="32"/>
        </w:rPr>
        <w:t>南京医科大学</w:t>
      </w:r>
      <w:r>
        <w:br w:type="page"/>
      </w:r>
      <w:bookmarkStart w:id="0" w:name="_Toc517190880"/>
      <w:bookmarkStart w:id="1" w:name="_Toc120614210"/>
      <w:bookmarkStart w:id="2" w:name="_Toc479757206"/>
      <w:bookmarkStart w:id="3" w:name="_Toc16938516"/>
      <w:bookmarkStart w:id="4" w:name="_Toc20823272"/>
      <w:bookmarkStart w:id="5" w:name="_Toc513029200"/>
      <w:bookmarkStart w:id="6" w:name="_Toc523127445"/>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21"/>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21"/>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21"/>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21"/>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21"/>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21"/>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rPr>
          <w:sz w:val="24"/>
        </w:rPr>
      </w:pPr>
      <w:r>
        <w:rPr>
          <w:rFonts w:asciiTheme="minorEastAsia" w:hAnsiTheme="minorEastAsia" w:eastAsiaTheme="minorEastAsia"/>
          <w:sz w:val="40"/>
          <w:szCs w:val="28"/>
        </w:rPr>
        <w:fldChar w:fldCharType="end"/>
      </w:r>
      <w:r>
        <w:rPr>
          <w:rFonts w:hint="eastAsia"/>
          <w:sz w:val="24"/>
          <w:szCs w:val="24"/>
        </w:rPr>
        <w:t>第六章拟签订的合同文本</w:t>
      </w:r>
      <w:r>
        <w:tab/>
      </w:r>
      <w:r>
        <w:rPr>
          <w:rFonts w:hint="eastAsia"/>
          <w:sz w:val="24"/>
        </w:rPr>
        <w:t>32</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p/>
    <w:p/>
    <w:bookmarkEnd w:id="1"/>
    <w:p>
      <w:pPr>
        <w:pStyle w:val="3"/>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pStyle w:val="27"/>
        <w:ind w:firstLine="560" w:firstLineChars="200"/>
        <w:rPr>
          <w:rFonts w:asciiTheme="minorEastAsia" w:hAnsiTheme="minorEastAsia" w:eastAsiaTheme="minorEastAsia"/>
          <w:sz w:val="28"/>
          <w:szCs w:val="28"/>
        </w:rPr>
      </w:pPr>
      <w:bookmarkStart w:id="8" w:name="_Toc16938558"/>
      <w:bookmarkStart w:id="9" w:name="_Toc20823314"/>
      <w:bookmarkStart w:id="10" w:name="_Toc444669970"/>
      <w:bookmarkStart w:id="11" w:name="OLE_LINK1"/>
      <w:bookmarkStart w:id="12" w:name="_Toc479757207"/>
      <w:bookmarkStart w:id="13" w:name="_Toc120614221"/>
      <w:bookmarkStart w:id="14" w:name="OLE_LINK2"/>
      <w:bookmarkStart w:id="15" w:name="_Toc120614211"/>
      <w:bookmarkStart w:id="16" w:name="_Toc513029242"/>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新药研发-新型抗脑卒中药物的设计、合成与药效评价虚拟实验开发服务采购项目</w:t>
      </w:r>
      <w:r>
        <w:rPr>
          <w:rFonts w:hint="eastAsia" w:asciiTheme="minorEastAsia" w:hAnsiTheme="minorEastAsia" w:eastAsiaTheme="minorEastAsia"/>
          <w:sz w:val="28"/>
          <w:szCs w:val="28"/>
        </w:rPr>
        <w:t>公开招标，相应资金已落实，欢迎符合招标公告资质要求的供应商前来投标。</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Lines="50" w:afterLines="50" w:line="500" w:lineRule="exact"/>
        <w:ind w:left="3359" w:leftChars="254" w:hanging="2800" w:hangingChars="1000"/>
        <w:rPr>
          <w:rFonts w:asciiTheme="minorEastAsia" w:hAnsiTheme="minorEastAsia" w:eastAsiaTheme="minorEastAsia"/>
          <w:sz w:val="24"/>
          <w:szCs w:val="24"/>
        </w:rPr>
      </w:pPr>
      <w:r>
        <w:rPr>
          <w:rFonts w:hint="eastAsia" w:asciiTheme="minorEastAsia" w:hAnsiTheme="minorEastAsia" w:eastAsiaTheme="minorEastAsia"/>
          <w:sz w:val="28"/>
          <w:szCs w:val="28"/>
        </w:rPr>
        <w:t>（一）采购项目名称：</w:t>
      </w:r>
      <w:r>
        <w:rPr>
          <w:rFonts w:hint="eastAsia" w:asciiTheme="minorEastAsia" w:hAnsiTheme="minorEastAsia" w:eastAsiaTheme="minorEastAsia"/>
          <w:sz w:val="24"/>
          <w:szCs w:val="24"/>
        </w:rPr>
        <w:t>南京医科大学新药研发-新型抗脑卒中药的设计、合成与药效评价虚拟实验开发服务</w:t>
      </w:r>
    </w:p>
    <w:p>
      <w:pPr>
        <w:spacing w:beforeLines="50" w:afterLines="50" w:line="500" w:lineRule="exact"/>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rPr>
        <w:t>（二）采购项目编</w:t>
      </w:r>
      <w:r>
        <w:rPr>
          <w:rFonts w:hint="eastAsia" w:asciiTheme="minorEastAsia" w:hAnsiTheme="minorEastAsia" w:eastAsiaTheme="minorEastAsia"/>
          <w:sz w:val="28"/>
          <w:szCs w:val="28"/>
          <w:highlight w:val="none"/>
        </w:rPr>
        <w:t>号：NJMUZB30120190</w:t>
      </w:r>
      <w:r>
        <w:rPr>
          <w:rFonts w:hint="eastAsia" w:asciiTheme="minorEastAsia" w:hAnsiTheme="minorEastAsia" w:eastAsiaTheme="minorEastAsia"/>
          <w:sz w:val="28"/>
          <w:szCs w:val="28"/>
          <w:highlight w:val="none"/>
          <w:lang w:val="en-US" w:eastAsia="zh-CN"/>
        </w:rPr>
        <w:t>50</w:t>
      </w:r>
      <w:r>
        <w:rPr>
          <w:rFonts w:hint="eastAsia" w:asciiTheme="minorEastAsia" w:hAnsiTheme="minorEastAsia" w:eastAsiaTheme="minorEastAsia"/>
          <w:sz w:val="28"/>
          <w:szCs w:val="28"/>
          <w:highlight w:val="none"/>
        </w:rPr>
        <w:t xml:space="preserve"> </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      ￥18万元</w:t>
      </w:r>
      <w:bookmarkStart w:id="199" w:name="_GoBack"/>
      <w:bookmarkEnd w:id="199"/>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Lines="5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Lines="5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hint="eastAsia" w:asciiTheme="minorEastAsia" w:hAnsiTheme="minorEastAsia" w:eastAsiaTheme="minorEastAsia"/>
          <w:b/>
          <w:bCs/>
          <w:color w:val="FF0000"/>
          <w:sz w:val="28"/>
          <w:szCs w:val="28"/>
        </w:rPr>
        <w:t>（注：分别提供纸质材料并加盖公章，原件备查）</w:t>
      </w:r>
      <w:r>
        <w:rPr>
          <w:rFonts w:cs="Arial" w:asciiTheme="minorEastAsia" w:hAnsiTheme="minorEastAsia" w:eastAsiaTheme="minorEastAsia"/>
          <w:sz w:val="28"/>
          <w:szCs w:val="28"/>
        </w:rPr>
        <w:t>；</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2、2018年度的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（二）本项目不接受联合体投标；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（三）本项目不允许分包或者转包。</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投标文件接收开始时间：2019年7月30日下午12:30（北京时间）</w:t>
      </w:r>
    </w:p>
    <w:p>
      <w:pPr>
        <w:spacing w:line="500" w:lineRule="exact"/>
        <w:ind w:firstLine="1080" w:firstLineChars="450"/>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投标文件接收截止时间：2019年7月30日下午13:30（北京时间）</w:t>
      </w:r>
    </w:p>
    <w:p>
      <w:pPr>
        <w:spacing w:line="500" w:lineRule="exact"/>
        <w:ind w:left="1089" w:leftChars="495"/>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spacing w:line="500" w:lineRule="exact"/>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p>
    <w:p>
      <w:pPr>
        <w:spacing w:line="5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开标时间：2019年7月30日下午13:30（北京时间）</w:t>
      </w:r>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numPr>
          <w:ilvl w:val="0"/>
          <w:numId w:val="3"/>
        </w:numPr>
        <w:spacing w:beforeLines="50" w:afterLines="50" w:line="27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投标文件接收要求：投标文件一式五份，其中正本一份、副本四份，在标书封面标注“正本”、“副本”字样，标书密封并在封口处加盖公章。逾期送达及未按要求密封的投标文件，采购人不予接收。</w:t>
      </w:r>
    </w:p>
    <w:p>
      <w:pPr>
        <w:spacing w:beforeLines="50" w:afterLines="50" w:line="270" w:lineRule="exact"/>
        <w:ind w:firstLine="500" w:firstLineChars="200"/>
        <w:rPr>
          <w:rFonts w:asciiTheme="minorEastAsia" w:hAnsiTheme="minorEastAsia" w:eastAsiaTheme="minorEastAsia"/>
          <w:sz w:val="28"/>
          <w:szCs w:val="28"/>
        </w:rPr>
      </w:pPr>
      <w:r>
        <w:rPr>
          <w:rFonts w:hint="eastAsia"/>
          <w:b/>
          <w:i/>
          <w:color w:val="FF0000"/>
          <w:sz w:val="25"/>
          <w:szCs w:val="25"/>
          <w:u w:val="single"/>
        </w:rPr>
        <w:t>（四）开标一览表必须加</w:t>
      </w:r>
      <w:r>
        <w:rPr>
          <w:rFonts w:hint="eastAsia"/>
          <w:b/>
          <w:bCs/>
          <w:i/>
          <w:iCs/>
          <w:color w:val="FF0000"/>
          <w:sz w:val="25"/>
          <w:szCs w:val="25"/>
          <w:u w:val="single"/>
        </w:rPr>
        <w:t>盖投标人公章（复印件无效），必须</w:t>
      </w:r>
      <w:r>
        <w:rPr>
          <w:rFonts w:hint="eastAsia"/>
          <w:b/>
          <w:i/>
          <w:color w:val="FF0000"/>
          <w:sz w:val="25"/>
          <w:szCs w:val="25"/>
          <w:u w:val="single"/>
        </w:rPr>
        <w:t>单独密封在信封中，在投标截止时间前与投标文件分别递交，否则视为无效投标。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（五）需要现场澄清的问题，投标商代表未到场书面澄清确认的，后果自负。</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电话：025-86868572 </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项目需求方联系人：许</w:t>
      </w:r>
      <w:r>
        <w:rPr>
          <w:rFonts w:hint="eastAsia" w:ascii="宋体" w:hAnsi="宋体" w:eastAsia="宋体" w:cs="Times New Roman"/>
          <w:sz w:val="24"/>
          <w:szCs w:val="24"/>
        </w:rPr>
        <w:t xml:space="preserve">老师       </w:t>
      </w:r>
      <w:r>
        <w:rPr>
          <w:rFonts w:hint="eastAsia" w:asciiTheme="minorEastAsia" w:hAnsiTheme="minorEastAsia" w:eastAsiaTheme="minorEastAsia"/>
          <w:sz w:val="24"/>
          <w:szCs w:val="24"/>
        </w:rPr>
        <w:t>电话：13951654566</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Lines="50" w:afterLines="50" w:line="480" w:lineRule="exact"/>
        <w:ind w:firstLine="560" w:firstLineChars="200"/>
        <w:rPr>
          <w:rFonts w:asciiTheme="minorEastAsia" w:hAnsiTheme="minorEastAsia" w:eastAsiaTheme="minorEastAsia"/>
          <w:b/>
          <w:sz w:val="28"/>
          <w:szCs w:val="28"/>
        </w:rPr>
      </w:pPr>
      <w:r>
        <w:rPr>
          <w:rFonts w:hint="eastAsia" w:asciiTheme="minorEastAsia" w:hAnsiTheme="minorEastAsia" w:eastAsiaTheme="minorEastAsia"/>
          <w:sz w:val="28"/>
          <w:szCs w:val="28"/>
        </w:rPr>
        <w:t>2、</w:t>
      </w:r>
      <w:r>
        <w:rPr>
          <w:rFonts w:hint="eastAsia" w:asciiTheme="minorEastAsia" w:hAnsiTheme="minorEastAsia" w:eastAsiaTheme="minorEastAsia"/>
          <w:b/>
          <w:sz w:val="28"/>
          <w:szCs w:val="28"/>
        </w:rPr>
        <w:t>本次招标需要提供实物演示，演示时间请控制在10分钟之内（具体演示内容见第四章：评标方法与评标标准内评分项）</w:t>
      </w:r>
    </w:p>
    <w:p>
      <w:pPr>
        <w:spacing w:beforeLines="50" w:afterLines="50" w:line="500" w:lineRule="exact"/>
        <w:ind w:firstLine="560" w:firstLineChars="200"/>
        <w:rPr>
          <w:rFonts w:asciiTheme="minorEastAsia" w:hAnsiTheme="minorEastAsia" w:eastAsiaTheme="minorEastAsia"/>
          <w:sz w:val="28"/>
          <w:szCs w:val="28"/>
        </w:rPr>
      </w:pPr>
    </w:p>
    <w:bookmarkEnd w:id="8"/>
    <w:bookmarkEnd w:id="9"/>
    <w:bookmarkEnd w:id="10"/>
    <w:bookmarkEnd w:id="11"/>
    <w:bookmarkEnd w:id="12"/>
    <w:bookmarkEnd w:id="13"/>
    <w:bookmarkEnd w:id="14"/>
    <w:bookmarkEnd w:id="15"/>
    <w:bookmarkEnd w:id="16"/>
    <w:p>
      <w:pPr>
        <w:pStyle w:val="3"/>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16938518"/>
      <w:bookmarkStart w:id="19" w:name="_Toc20823274"/>
      <w:bookmarkStart w:id="20" w:name="_Toc513029202"/>
      <w:bookmarkStart w:id="21" w:name="_Toc120614213"/>
      <w:r>
        <w:rPr>
          <w:rFonts w:hint="eastAsia" w:asciiTheme="majorEastAsia" w:hAnsiTheme="majorEastAsia" w:eastAsiaTheme="majorEastAsia"/>
          <w:b/>
          <w:sz w:val="44"/>
        </w:rPr>
        <w:t>投标人须知</w:t>
      </w:r>
      <w:bookmarkEnd w:id="17"/>
      <w:bookmarkEnd w:id="18"/>
      <w:bookmarkEnd w:id="19"/>
      <w:bookmarkEnd w:id="20"/>
      <w:bookmarkEnd w:id="21"/>
    </w:p>
    <w:p>
      <w:pPr>
        <w:pStyle w:val="27"/>
        <w:rPr>
          <w:b/>
          <w:sz w:val="28"/>
          <w:szCs w:val="28"/>
        </w:rPr>
      </w:pPr>
      <w:bookmarkStart w:id="22" w:name="_Toc513029203"/>
      <w:bookmarkStart w:id="23" w:name="_Toc16938519"/>
      <w:bookmarkStart w:id="24" w:name="_Toc120614214"/>
      <w:bookmarkStart w:id="25" w:name="_Toc20823275"/>
      <w:r>
        <w:rPr>
          <w:rFonts w:hint="eastAsia"/>
          <w:b/>
          <w:sz w:val="28"/>
          <w:szCs w:val="28"/>
        </w:rPr>
        <w:t>一、总则</w:t>
      </w:r>
      <w:bookmarkEnd w:id="22"/>
      <w:bookmarkEnd w:id="23"/>
      <w:bookmarkEnd w:id="24"/>
      <w:bookmarkEnd w:id="25"/>
    </w:p>
    <w:p>
      <w:pPr>
        <w:pStyle w:val="27"/>
        <w:rPr>
          <w:b/>
          <w:bCs/>
          <w:sz w:val="28"/>
          <w:szCs w:val="28"/>
        </w:rPr>
      </w:pPr>
      <w:bookmarkStart w:id="26" w:name="_Hlt16619475"/>
      <w:bookmarkEnd w:id="26"/>
      <w:bookmarkStart w:id="27" w:name="_Toc458694821"/>
      <w:bookmarkStart w:id="28" w:name="_Toc20823276"/>
      <w:bookmarkStart w:id="29" w:name="_Toc513029204"/>
      <w:bookmarkStart w:id="30" w:name="_Toc16938520"/>
      <w:r>
        <w:rPr>
          <w:rFonts w:hint="eastAsia"/>
          <w:b/>
          <w:bCs/>
          <w:sz w:val="28"/>
          <w:szCs w:val="28"/>
        </w:rPr>
        <w:t>1</w:t>
      </w:r>
      <w:bookmarkEnd w:id="27"/>
      <w:r>
        <w:rPr>
          <w:rFonts w:hint="eastAsia"/>
          <w:b/>
          <w:bCs/>
          <w:sz w:val="28"/>
          <w:szCs w:val="28"/>
        </w:rPr>
        <w:t>、招标方式</w:t>
      </w:r>
      <w:bookmarkEnd w:id="28"/>
      <w:bookmarkEnd w:id="29"/>
      <w:bookmarkEnd w:id="30"/>
    </w:p>
    <w:p>
      <w:pPr>
        <w:pStyle w:val="27"/>
        <w:rPr>
          <w:sz w:val="28"/>
          <w:szCs w:val="28"/>
        </w:rPr>
      </w:pPr>
      <w:r>
        <w:rPr>
          <w:rFonts w:hint="eastAsia"/>
          <w:sz w:val="28"/>
          <w:szCs w:val="28"/>
        </w:rPr>
        <w:t>1.1 本次招标采取公开招标方式，本招标文件仅适用于招标公告中所述项目。</w:t>
      </w:r>
    </w:p>
    <w:p>
      <w:pPr>
        <w:pStyle w:val="27"/>
        <w:rPr>
          <w:b/>
          <w:bCs/>
          <w:sz w:val="28"/>
          <w:szCs w:val="28"/>
        </w:rPr>
      </w:pPr>
      <w:bookmarkStart w:id="31" w:name="_Toc20823277"/>
      <w:bookmarkStart w:id="32" w:name="_Toc16938521"/>
      <w:bookmarkStart w:id="33" w:name="_Toc513029205"/>
      <w:r>
        <w:rPr>
          <w:rFonts w:hint="eastAsia"/>
          <w:b/>
          <w:bCs/>
          <w:sz w:val="28"/>
          <w:szCs w:val="28"/>
        </w:rPr>
        <w:t>2、合格的投标人</w:t>
      </w:r>
      <w:bookmarkEnd w:id="31"/>
      <w:bookmarkEnd w:id="32"/>
      <w:bookmarkEnd w:id="33"/>
    </w:p>
    <w:p>
      <w:pPr>
        <w:pStyle w:val="27"/>
        <w:rPr>
          <w:sz w:val="28"/>
          <w:szCs w:val="28"/>
        </w:rPr>
      </w:pPr>
      <w:r>
        <w:rPr>
          <w:rFonts w:hint="eastAsia"/>
          <w:sz w:val="28"/>
          <w:szCs w:val="28"/>
        </w:rPr>
        <w:t>2.1满足招标公告中供应商资格要求的规定。</w:t>
      </w:r>
    </w:p>
    <w:p>
      <w:pPr>
        <w:pStyle w:val="27"/>
        <w:rPr>
          <w:sz w:val="28"/>
          <w:szCs w:val="28"/>
        </w:rPr>
      </w:pPr>
      <w:r>
        <w:rPr>
          <w:rFonts w:hint="eastAsia"/>
          <w:sz w:val="28"/>
          <w:szCs w:val="28"/>
        </w:rPr>
        <w:t>2.2 满足本文件实质性条款的规定。</w:t>
      </w:r>
    </w:p>
    <w:p>
      <w:pPr>
        <w:pStyle w:val="27"/>
        <w:rPr>
          <w:b/>
          <w:bCs/>
          <w:sz w:val="28"/>
          <w:szCs w:val="28"/>
        </w:rPr>
      </w:pPr>
      <w:bookmarkStart w:id="34" w:name="_Toc513029206"/>
      <w:bookmarkStart w:id="35" w:name="_Toc16938522"/>
      <w:bookmarkStart w:id="36" w:name="_Toc20823278"/>
      <w:r>
        <w:rPr>
          <w:rFonts w:hint="eastAsia"/>
          <w:b/>
          <w:bCs/>
          <w:sz w:val="28"/>
          <w:szCs w:val="28"/>
        </w:rPr>
        <w:t>3、适用法律</w:t>
      </w:r>
      <w:bookmarkEnd w:id="34"/>
      <w:bookmarkEnd w:id="35"/>
      <w:bookmarkEnd w:id="36"/>
    </w:p>
    <w:p>
      <w:pPr>
        <w:pStyle w:val="27"/>
        <w:rPr>
          <w:sz w:val="28"/>
          <w:szCs w:val="28"/>
        </w:rPr>
      </w:pPr>
      <w:r>
        <w:rPr>
          <w:rFonts w:hint="eastAsia"/>
          <w:sz w:val="28"/>
          <w:szCs w:val="28"/>
        </w:rPr>
        <w:t>本次招标及由此产生的合同受中华人民共和国有关的法律法规制约和保护</w:t>
      </w:r>
      <w:r>
        <w:rPr>
          <w:sz w:val="28"/>
          <w:szCs w:val="28"/>
        </w:rPr>
        <w:t>。</w:t>
      </w:r>
    </w:p>
    <w:p>
      <w:pPr>
        <w:pStyle w:val="27"/>
        <w:rPr>
          <w:b/>
          <w:bCs/>
          <w:sz w:val="28"/>
          <w:szCs w:val="28"/>
        </w:rPr>
      </w:pPr>
      <w:bookmarkStart w:id="37" w:name="_Toc20823279"/>
      <w:bookmarkStart w:id="38" w:name="_Toc462564067"/>
      <w:bookmarkStart w:id="39" w:name="_Toc513029207"/>
      <w:bookmarkStart w:id="40" w:name="_Toc16938523"/>
      <w:r>
        <w:rPr>
          <w:rFonts w:hint="eastAsia"/>
          <w:b/>
          <w:bCs/>
          <w:sz w:val="28"/>
          <w:szCs w:val="28"/>
        </w:rPr>
        <w:t>4、投标费用</w:t>
      </w:r>
      <w:bookmarkEnd w:id="37"/>
      <w:bookmarkEnd w:id="38"/>
      <w:bookmarkEnd w:id="39"/>
      <w:bookmarkEnd w:id="40"/>
    </w:p>
    <w:p>
      <w:pPr>
        <w:pStyle w:val="27"/>
        <w:rPr>
          <w:sz w:val="28"/>
          <w:szCs w:val="28"/>
        </w:rPr>
      </w:pPr>
      <w:r>
        <w:rPr>
          <w:rFonts w:hint="eastAsia"/>
          <w:sz w:val="28"/>
          <w:szCs w:val="28"/>
        </w:rPr>
        <w:t>投标人应自行承担所有与参加投标有关的费用。</w:t>
      </w:r>
    </w:p>
    <w:p>
      <w:pPr>
        <w:pStyle w:val="27"/>
        <w:rPr>
          <w:b/>
          <w:bCs/>
          <w:sz w:val="28"/>
          <w:szCs w:val="28"/>
        </w:rPr>
      </w:pPr>
      <w:r>
        <w:rPr>
          <w:rFonts w:hint="eastAsia"/>
          <w:b/>
          <w:sz w:val="28"/>
          <w:szCs w:val="28"/>
        </w:rPr>
        <w:t>5、</w:t>
      </w:r>
      <w:r>
        <w:rPr>
          <w:rFonts w:hint="eastAsia"/>
          <w:b/>
          <w:bCs/>
          <w:sz w:val="28"/>
          <w:szCs w:val="28"/>
        </w:rPr>
        <w:t>招标文件的约束力</w:t>
      </w:r>
    </w:p>
    <w:p>
      <w:pPr>
        <w:pStyle w:val="27"/>
        <w:rPr>
          <w:sz w:val="28"/>
          <w:szCs w:val="28"/>
        </w:rPr>
      </w:pPr>
      <w:r>
        <w:rPr>
          <w:rFonts w:hint="eastAsia"/>
          <w:sz w:val="28"/>
          <w:szCs w:val="28"/>
        </w:rPr>
        <w:t>投标人一旦参加本项目采购活动，即被认为接受了本招标文件的规定和约束。</w:t>
      </w:r>
    </w:p>
    <w:p>
      <w:pPr>
        <w:pStyle w:val="27"/>
        <w:rPr>
          <w:b/>
          <w:sz w:val="28"/>
          <w:szCs w:val="28"/>
        </w:rPr>
      </w:pPr>
      <w:bookmarkStart w:id="41" w:name="_Toc517190883"/>
      <w:bookmarkStart w:id="42" w:name="_Toc513029209"/>
      <w:bookmarkStart w:id="43" w:name="_Toc16938525"/>
      <w:bookmarkStart w:id="44" w:name="_Toc120614215"/>
      <w:bookmarkStart w:id="45" w:name="_Toc20823281"/>
      <w:r>
        <w:rPr>
          <w:rFonts w:hint="eastAsia"/>
          <w:b/>
          <w:sz w:val="28"/>
          <w:szCs w:val="28"/>
        </w:rPr>
        <w:t>二、招标文件</w:t>
      </w:r>
      <w:bookmarkEnd w:id="41"/>
      <w:bookmarkEnd w:id="42"/>
      <w:bookmarkEnd w:id="43"/>
      <w:bookmarkEnd w:id="44"/>
      <w:bookmarkEnd w:id="45"/>
    </w:p>
    <w:p>
      <w:pPr>
        <w:pStyle w:val="27"/>
        <w:rPr>
          <w:b/>
          <w:bCs/>
          <w:sz w:val="28"/>
          <w:szCs w:val="28"/>
        </w:rPr>
      </w:pPr>
      <w:bookmarkStart w:id="46" w:name="_Toc20823282"/>
      <w:bookmarkStart w:id="47" w:name="_Toc16938526"/>
      <w:bookmarkStart w:id="48" w:name="_Toc513029210"/>
      <w:r>
        <w:rPr>
          <w:rFonts w:hint="eastAsia"/>
          <w:b/>
          <w:bCs/>
          <w:sz w:val="28"/>
          <w:szCs w:val="28"/>
        </w:rPr>
        <w:t>6、招标文件构成</w:t>
      </w:r>
      <w:bookmarkEnd w:id="46"/>
      <w:bookmarkEnd w:id="47"/>
      <w:bookmarkEnd w:id="48"/>
    </w:p>
    <w:p>
      <w:pPr>
        <w:pStyle w:val="27"/>
        <w:rPr>
          <w:sz w:val="28"/>
          <w:szCs w:val="28"/>
        </w:rPr>
      </w:pPr>
      <w:r>
        <w:rPr>
          <w:rFonts w:hint="eastAsia"/>
          <w:bCs/>
          <w:sz w:val="28"/>
          <w:szCs w:val="28"/>
        </w:rPr>
        <w:t>6.1</w:t>
      </w:r>
      <w:r>
        <w:rPr>
          <w:rFonts w:hint="eastAsia"/>
          <w:sz w:val="28"/>
          <w:szCs w:val="28"/>
        </w:rPr>
        <w:t>招标文件由以下部分组成：</w:t>
      </w:r>
    </w:p>
    <w:p>
      <w:pPr>
        <w:pStyle w:val="27"/>
        <w:rPr>
          <w:sz w:val="28"/>
          <w:szCs w:val="28"/>
        </w:rPr>
      </w:pPr>
      <w:r>
        <w:rPr>
          <w:rFonts w:hint="eastAsia"/>
          <w:sz w:val="28"/>
          <w:szCs w:val="28"/>
        </w:rPr>
        <w:t>（1）招标公告</w:t>
      </w:r>
    </w:p>
    <w:p>
      <w:pPr>
        <w:pStyle w:val="27"/>
        <w:rPr>
          <w:sz w:val="28"/>
          <w:szCs w:val="28"/>
        </w:rPr>
      </w:pPr>
      <w:r>
        <w:rPr>
          <w:rFonts w:hint="eastAsia"/>
          <w:sz w:val="28"/>
          <w:szCs w:val="28"/>
        </w:rPr>
        <w:t>（2）投标人须知</w:t>
      </w:r>
    </w:p>
    <w:p>
      <w:pPr>
        <w:pStyle w:val="27"/>
        <w:rPr>
          <w:sz w:val="28"/>
          <w:szCs w:val="28"/>
        </w:rPr>
      </w:pPr>
      <w:r>
        <w:rPr>
          <w:rFonts w:hint="eastAsia"/>
          <w:sz w:val="28"/>
          <w:szCs w:val="28"/>
        </w:rPr>
        <w:t>（3）项目需求</w:t>
      </w:r>
    </w:p>
    <w:p>
      <w:pPr>
        <w:pStyle w:val="27"/>
        <w:rPr>
          <w:sz w:val="28"/>
          <w:szCs w:val="28"/>
        </w:rPr>
      </w:pPr>
      <w:r>
        <w:rPr>
          <w:rFonts w:hint="eastAsia"/>
          <w:sz w:val="28"/>
          <w:szCs w:val="28"/>
        </w:rPr>
        <w:t>（4）评标方法与评标标准</w:t>
      </w:r>
    </w:p>
    <w:p>
      <w:pPr>
        <w:pStyle w:val="27"/>
        <w:rPr>
          <w:sz w:val="28"/>
          <w:szCs w:val="28"/>
        </w:rPr>
      </w:pPr>
      <w:r>
        <w:rPr>
          <w:rFonts w:hint="eastAsia"/>
          <w:sz w:val="28"/>
          <w:szCs w:val="28"/>
        </w:rPr>
        <w:t>（5）投标文件格式</w:t>
      </w:r>
    </w:p>
    <w:p>
      <w:pPr>
        <w:pStyle w:val="27"/>
        <w:rPr>
          <w:sz w:val="28"/>
          <w:szCs w:val="28"/>
        </w:rPr>
      </w:pPr>
      <w:r>
        <w:rPr>
          <w:rFonts w:hint="eastAsia"/>
          <w:sz w:val="28"/>
          <w:szCs w:val="28"/>
        </w:rPr>
        <w:t>请仔细检查招标文件是否齐全，如有缺漏请立即与采购人联系解决。</w:t>
      </w:r>
    </w:p>
    <w:p>
      <w:pPr>
        <w:pStyle w:val="27"/>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7"/>
        <w:rPr>
          <w:b/>
          <w:bCs/>
          <w:sz w:val="28"/>
          <w:szCs w:val="28"/>
        </w:rPr>
      </w:pPr>
      <w:bookmarkStart w:id="49" w:name="_Toc462564070"/>
      <w:bookmarkStart w:id="50" w:name="_Toc16938527"/>
      <w:bookmarkStart w:id="51" w:name="_Toc20823283"/>
      <w:bookmarkStart w:id="52" w:name="_Toc513029211"/>
      <w:r>
        <w:rPr>
          <w:rFonts w:hint="eastAsia"/>
          <w:b/>
          <w:bCs/>
          <w:sz w:val="28"/>
          <w:szCs w:val="28"/>
        </w:rPr>
        <w:t>7、招标文件的澄清</w:t>
      </w:r>
      <w:bookmarkEnd w:id="49"/>
      <w:bookmarkEnd w:id="50"/>
      <w:bookmarkEnd w:id="51"/>
      <w:bookmarkEnd w:id="52"/>
    </w:p>
    <w:p>
      <w:pPr>
        <w:pStyle w:val="27"/>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7"/>
        <w:rPr>
          <w:b/>
          <w:bCs/>
          <w:sz w:val="28"/>
          <w:szCs w:val="28"/>
        </w:rPr>
      </w:pPr>
      <w:bookmarkStart w:id="53" w:name="_Toc513029212"/>
      <w:bookmarkStart w:id="54" w:name="_Toc20823284"/>
      <w:bookmarkStart w:id="55" w:name="_Toc16938528"/>
      <w:bookmarkStart w:id="56" w:name="_Toc462564071"/>
      <w:r>
        <w:rPr>
          <w:rFonts w:hint="eastAsia"/>
          <w:b/>
          <w:bCs/>
          <w:sz w:val="28"/>
          <w:szCs w:val="28"/>
        </w:rPr>
        <w:t>8、招标文件的修改</w:t>
      </w:r>
      <w:bookmarkEnd w:id="53"/>
      <w:bookmarkEnd w:id="54"/>
      <w:bookmarkEnd w:id="55"/>
      <w:bookmarkEnd w:id="56"/>
    </w:p>
    <w:p>
      <w:pPr>
        <w:pStyle w:val="27"/>
        <w:rPr>
          <w:sz w:val="28"/>
          <w:szCs w:val="28"/>
        </w:rPr>
      </w:pPr>
      <w:r>
        <w:rPr>
          <w:rFonts w:hint="eastAsia"/>
          <w:bCs/>
          <w:sz w:val="28"/>
          <w:szCs w:val="28"/>
        </w:rPr>
        <w:t>8.1</w:t>
      </w:r>
      <w:r>
        <w:rPr>
          <w:rFonts w:hint="eastAsia"/>
          <w:sz w:val="28"/>
          <w:szCs w:val="28"/>
        </w:rPr>
        <w:t>在投标截止时间前，采购人可以对招标文件进行修改。</w:t>
      </w:r>
    </w:p>
    <w:p>
      <w:pPr>
        <w:pStyle w:val="27"/>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7"/>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7"/>
        <w:rPr>
          <w:b/>
          <w:sz w:val="28"/>
          <w:szCs w:val="28"/>
        </w:rPr>
      </w:pPr>
      <w:bookmarkStart w:id="57" w:name="_Toc462564072"/>
      <w:bookmarkStart w:id="58" w:name="_Toc517190884"/>
      <w:bookmarkStart w:id="59" w:name="_Toc120614216"/>
      <w:bookmarkStart w:id="60" w:name="_Toc513029213"/>
      <w:bookmarkStart w:id="61" w:name="_Toc16938529"/>
      <w:bookmarkStart w:id="62" w:name="_Toc20823285"/>
      <w:r>
        <w:rPr>
          <w:rFonts w:hint="eastAsia"/>
          <w:b/>
          <w:sz w:val="28"/>
          <w:szCs w:val="28"/>
        </w:rPr>
        <w:t>三、投标文件的编制</w:t>
      </w:r>
      <w:bookmarkEnd w:id="57"/>
      <w:bookmarkEnd w:id="58"/>
      <w:bookmarkEnd w:id="59"/>
      <w:bookmarkEnd w:id="60"/>
      <w:bookmarkEnd w:id="61"/>
      <w:bookmarkEnd w:id="62"/>
    </w:p>
    <w:p>
      <w:pPr>
        <w:pStyle w:val="27"/>
        <w:rPr>
          <w:bCs/>
          <w:sz w:val="28"/>
          <w:szCs w:val="28"/>
        </w:rPr>
      </w:pPr>
      <w:bookmarkStart w:id="63" w:name="_Toc20823286"/>
      <w:bookmarkStart w:id="64" w:name="_Toc462564073"/>
      <w:bookmarkStart w:id="65" w:name="_Toc16938530"/>
      <w:bookmarkStart w:id="66" w:name="_Toc513029214"/>
      <w:r>
        <w:rPr>
          <w:rFonts w:hint="eastAsia"/>
          <w:b/>
          <w:bCs/>
          <w:sz w:val="28"/>
          <w:szCs w:val="28"/>
        </w:rPr>
        <w:t>9、投标文件的语言及度量衡单位</w:t>
      </w:r>
      <w:bookmarkEnd w:id="63"/>
      <w:bookmarkEnd w:id="64"/>
      <w:bookmarkEnd w:id="65"/>
      <w:bookmarkEnd w:id="66"/>
    </w:p>
    <w:p>
      <w:pPr>
        <w:pStyle w:val="27"/>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7"/>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7"/>
        <w:rPr>
          <w:b/>
          <w:bCs/>
          <w:sz w:val="28"/>
          <w:szCs w:val="28"/>
        </w:rPr>
      </w:pPr>
      <w:bookmarkStart w:id="67" w:name="_Toc16938531"/>
      <w:bookmarkStart w:id="68" w:name="_Toc462564074"/>
      <w:bookmarkStart w:id="69" w:name="_Toc20823287"/>
      <w:bookmarkStart w:id="70" w:name="_Toc513029215"/>
      <w:r>
        <w:rPr>
          <w:rFonts w:hint="eastAsia"/>
          <w:b/>
          <w:bCs/>
          <w:sz w:val="28"/>
          <w:szCs w:val="28"/>
        </w:rPr>
        <w:t>10、投标文件构成</w:t>
      </w:r>
      <w:bookmarkEnd w:id="67"/>
      <w:bookmarkEnd w:id="68"/>
      <w:bookmarkEnd w:id="69"/>
      <w:bookmarkEnd w:id="70"/>
    </w:p>
    <w:p>
      <w:pPr>
        <w:pStyle w:val="27"/>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7"/>
        <w:rPr>
          <w:sz w:val="28"/>
          <w:szCs w:val="28"/>
        </w:rPr>
      </w:pPr>
      <w:r>
        <w:rPr>
          <w:rFonts w:hint="eastAsia"/>
          <w:sz w:val="28"/>
          <w:szCs w:val="28"/>
        </w:rPr>
        <w:t>10.2投标人应将投标文件按顺序装订成册，并编制投标文件资料目录。</w:t>
      </w:r>
    </w:p>
    <w:p>
      <w:pPr>
        <w:pStyle w:val="27"/>
        <w:rPr>
          <w:b/>
          <w:bCs/>
          <w:sz w:val="28"/>
          <w:szCs w:val="28"/>
        </w:rPr>
      </w:pPr>
      <w:bookmarkStart w:id="71" w:name="_Hlt26668975"/>
      <w:bookmarkEnd w:id="71"/>
      <w:bookmarkStart w:id="72" w:name="_Hlt26670360"/>
      <w:bookmarkEnd w:id="72"/>
      <w:bookmarkStart w:id="73" w:name="_Hlt26954838"/>
      <w:bookmarkEnd w:id="73"/>
      <w:bookmarkStart w:id="74" w:name="_Toc14577357"/>
      <w:bookmarkStart w:id="75" w:name="_Toc513029219"/>
      <w:bookmarkStart w:id="76" w:name="_Toc49090509"/>
      <w:bookmarkStart w:id="77" w:name="_Toc14577354"/>
      <w:bookmarkStart w:id="78" w:name="_Toc513029216"/>
      <w:bookmarkStart w:id="79" w:name="_Toc49090507"/>
      <w:r>
        <w:rPr>
          <w:rFonts w:hint="eastAsia"/>
          <w:b/>
          <w:bCs/>
          <w:sz w:val="28"/>
          <w:szCs w:val="28"/>
        </w:rPr>
        <w:t>11、证明投标人资格及符合招标文件规定的文件</w:t>
      </w:r>
      <w:bookmarkEnd w:id="74"/>
      <w:bookmarkEnd w:id="75"/>
      <w:bookmarkEnd w:id="76"/>
    </w:p>
    <w:p>
      <w:pPr>
        <w:pStyle w:val="27"/>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7"/>
        <w:rPr>
          <w:sz w:val="28"/>
          <w:szCs w:val="28"/>
        </w:rPr>
      </w:pPr>
      <w:r>
        <w:rPr>
          <w:rFonts w:hint="eastAsia"/>
          <w:sz w:val="28"/>
          <w:szCs w:val="28"/>
        </w:rPr>
        <w:t>11.2投标人应具有资格参加投标和中标后有能力独立履行合同的能力。</w:t>
      </w:r>
    </w:p>
    <w:p>
      <w:pPr>
        <w:pStyle w:val="27"/>
        <w:rPr>
          <w:sz w:val="28"/>
          <w:szCs w:val="28"/>
        </w:rPr>
      </w:pPr>
      <w:r>
        <w:rPr>
          <w:rFonts w:hint="eastAsia"/>
          <w:sz w:val="28"/>
          <w:szCs w:val="28"/>
        </w:rPr>
        <w:t>11.3投标人除必须具有履行合同所需提供的货物以及服务的能力外，还必须具备相应的财务、技术方面的能力。</w:t>
      </w:r>
    </w:p>
    <w:p>
      <w:pPr>
        <w:pStyle w:val="27"/>
        <w:rPr>
          <w:sz w:val="28"/>
          <w:szCs w:val="28"/>
        </w:rPr>
      </w:pPr>
      <w:r>
        <w:rPr>
          <w:rFonts w:hint="eastAsia"/>
          <w:sz w:val="28"/>
          <w:szCs w:val="28"/>
        </w:rPr>
        <w:t>11.4投标人应提交根据采购项目要求提供的证明产品质量合格以及符合招标文件规定的证明文件。</w:t>
      </w:r>
    </w:p>
    <w:p>
      <w:pPr>
        <w:pStyle w:val="27"/>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7"/>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7"/>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7"/>
        <w:rPr>
          <w:bCs/>
          <w:sz w:val="28"/>
          <w:szCs w:val="28"/>
        </w:rPr>
      </w:pPr>
      <w:r>
        <w:rPr>
          <w:rFonts w:hint="eastAsia"/>
          <w:sz w:val="28"/>
          <w:szCs w:val="28"/>
        </w:rPr>
        <w:t>12.3</w:t>
      </w:r>
      <w:r>
        <w:rPr>
          <w:rFonts w:hint="eastAsia"/>
          <w:bCs/>
          <w:sz w:val="28"/>
          <w:szCs w:val="28"/>
        </w:rPr>
        <w:t>有关费用处理</w:t>
      </w:r>
    </w:p>
    <w:p>
      <w:pPr>
        <w:pStyle w:val="27"/>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7"/>
        <w:rPr>
          <w:bCs/>
          <w:sz w:val="28"/>
          <w:szCs w:val="28"/>
        </w:rPr>
      </w:pPr>
      <w:r>
        <w:rPr>
          <w:rFonts w:hint="eastAsia"/>
          <w:sz w:val="28"/>
          <w:szCs w:val="28"/>
        </w:rPr>
        <w:t>12.4</w:t>
      </w:r>
      <w:r>
        <w:rPr>
          <w:rFonts w:hint="eastAsia"/>
          <w:bCs/>
          <w:sz w:val="28"/>
          <w:szCs w:val="28"/>
        </w:rPr>
        <w:t>其它费用处理</w:t>
      </w:r>
    </w:p>
    <w:p>
      <w:pPr>
        <w:pStyle w:val="27"/>
        <w:rPr>
          <w:bCs/>
          <w:sz w:val="28"/>
          <w:szCs w:val="28"/>
        </w:rPr>
      </w:pPr>
      <w:r>
        <w:rPr>
          <w:rFonts w:hint="eastAsia"/>
          <w:bCs/>
          <w:sz w:val="28"/>
          <w:szCs w:val="28"/>
        </w:rPr>
        <w:t>招标文件未列明，而投标人认为必需的费用也需列入报价。</w:t>
      </w:r>
    </w:p>
    <w:p>
      <w:pPr>
        <w:pStyle w:val="27"/>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7"/>
        <w:rPr>
          <w:bCs/>
          <w:sz w:val="28"/>
          <w:szCs w:val="28"/>
        </w:rPr>
      </w:pPr>
      <w:bookmarkStart w:id="86" w:name="_Hlt26668983"/>
      <w:bookmarkEnd w:id="86"/>
      <w:bookmarkStart w:id="87" w:name="_Hlt26954842"/>
      <w:bookmarkEnd w:id="87"/>
      <w:bookmarkStart w:id="88" w:name="_Hlt26670425"/>
      <w:bookmarkEnd w:id="88"/>
      <w:bookmarkStart w:id="89" w:name="_Hlt26670403"/>
      <w:bookmarkEnd w:id="89"/>
      <w:bookmarkStart w:id="90" w:name="_Hlt26954844"/>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7"/>
        <w:rPr>
          <w:bCs/>
          <w:sz w:val="28"/>
          <w:szCs w:val="28"/>
        </w:rPr>
      </w:pPr>
      <w:r>
        <w:rPr>
          <w:rFonts w:hint="eastAsia"/>
          <w:sz w:val="28"/>
          <w:szCs w:val="28"/>
        </w:rPr>
        <w:t>（2）</w:t>
      </w:r>
      <w:r>
        <w:rPr>
          <w:rFonts w:hint="eastAsia"/>
          <w:bCs/>
          <w:sz w:val="28"/>
          <w:szCs w:val="28"/>
        </w:rPr>
        <w:t>项目单价按投标配置及分项报价表中要求填报。</w:t>
      </w:r>
    </w:p>
    <w:p>
      <w:pPr>
        <w:pStyle w:val="27"/>
        <w:rPr>
          <w:b/>
          <w:bCs/>
          <w:sz w:val="28"/>
          <w:szCs w:val="28"/>
        </w:rPr>
      </w:pPr>
      <w:bookmarkStart w:id="91" w:name="_Hlt26670482"/>
      <w:bookmarkEnd w:id="91"/>
      <w:bookmarkStart w:id="92" w:name="_Hlt26954731"/>
      <w:bookmarkEnd w:id="92"/>
      <w:bookmarkStart w:id="93" w:name="_Hlt26954848"/>
      <w:bookmarkEnd w:id="93"/>
      <w:bookmarkStart w:id="94" w:name="_Hlt26954846"/>
      <w:bookmarkEnd w:id="94"/>
      <w:bookmarkStart w:id="95" w:name="_Hlt26670486"/>
      <w:bookmarkEnd w:id="95"/>
      <w:r>
        <w:rPr>
          <w:rFonts w:hint="eastAsia"/>
          <w:b/>
          <w:bCs/>
          <w:sz w:val="28"/>
          <w:szCs w:val="28"/>
        </w:rPr>
        <w:t>13、技术参数响应及偏离表和投标货物说明</w:t>
      </w:r>
    </w:p>
    <w:p>
      <w:pPr>
        <w:pStyle w:val="27"/>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7"/>
        <w:rPr>
          <w:rFonts w:cs="宋体"/>
          <w:sz w:val="28"/>
          <w:szCs w:val="28"/>
          <w:lang w:val="zh-CN"/>
        </w:rPr>
      </w:pPr>
      <w:r>
        <w:rPr>
          <w:rFonts w:hint="eastAsia" w:cs="宋体"/>
          <w:sz w:val="28"/>
          <w:szCs w:val="28"/>
          <w:lang w:val="zh-CN"/>
        </w:rPr>
        <w:t>13.2详细阐述所投货物的主要组成部分、功能设计、实现思路及关键技术；</w:t>
      </w:r>
    </w:p>
    <w:p>
      <w:pPr>
        <w:pStyle w:val="27"/>
        <w:rPr>
          <w:rFonts w:cs="宋体"/>
          <w:sz w:val="28"/>
          <w:szCs w:val="28"/>
          <w:lang w:val="zh-CN"/>
        </w:rPr>
      </w:pPr>
      <w:r>
        <w:rPr>
          <w:rFonts w:hint="eastAsia" w:cs="宋体"/>
          <w:sz w:val="28"/>
          <w:szCs w:val="28"/>
          <w:lang w:val="zh-CN"/>
        </w:rPr>
        <w:t>13.3投标人认为需要的其他技术文件或说明。</w:t>
      </w:r>
    </w:p>
    <w:p>
      <w:pPr>
        <w:pStyle w:val="27"/>
        <w:rPr>
          <w:b/>
          <w:bCs/>
          <w:sz w:val="28"/>
          <w:szCs w:val="28"/>
        </w:rPr>
      </w:pPr>
      <w:r>
        <w:rPr>
          <w:rFonts w:hint="eastAsia"/>
          <w:b/>
          <w:bCs/>
          <w:sz w:val="28"/>
          <w:szCs w:val="28"/>
        </w:rPr>
        <w:t>14、服务承诺及售后服务机构、人员的情况介绍</w:t>
      </w:r>
    </w:p>
    <w:p>
      <w:pPr>
        <w:pStyle w:val="27"/>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7"/>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7"/>
        <w:rPr>
          <w:rFonts w:cs="宋体"/>
          <w:sz w:val="28"/>
          <w:szCs w:val="28"/>
          <w:lang w:val="zh-CN"/>
        </w:rPr>
      </w:pPr>
      <w:r>
        <w:rPr>
          <w:rFonts w:hint="eastAsia" w:cs="宋体"/>
          <w:sz w:val="28"/>
          <w:szCs w:val="28"/>
          <w:lang w:val="zh-CN"/>
        </w:rPr>
        <w:t>14.3培训计划；</w:t>
      </w:r>
    </w:p>
    <w:p>
      <w:pPr>
        <w:pStyle w:val="27"/>
        <w:rPr>
          <w:rFonts w:cs="宋体"/>
          <w:sz w:val="28"/>
          <w:szCs w:val="28"/>
          <w:lang w:val="zh-CN"/>
        </w:rPr>
      </w:pPr>
      <w:r>
        <w:rPr>
          <w:rFonts w:hint="eastAsia" w:cs="宋体"/>
          <w:sz w:val="28"/>
          <w:szCs w:val="28"/>
          <w:lang w:val="zh-CN"/>
        </w:rPr>
        <w:t>14.4提供参加本项目类似案例简介；</w:t>
      </w:r>
    </w:p>
    <w:p>
      <w:pPr>
        <w:pStyle w:val="27"/>
        <w:rPr>
          <w:b/>
          <w:bCs/>
          <w:sz w:val="28"/>
          <w:szCs w:val="28"/>
        </w:rPr>
      </w:pPr>
      <w:bookmarkStart w:id="96" w:name="_Toc14577359"/>
      <w:bookmarkStart w:id="97" w:name="_Toc49090510"/>
      <w:r>
        <w:rPr>
          <w:rFonts w:hint="eastAsia"/>
          <w:b/>
          <w:bCs/>
          <w:sz w:val="28"/>
          <w:szCs w:val="28"/>
        </w:rPr>
        <w:t>15、投标函和开标一览表</w:t>
      </w:r>
    </w:p>
    <w:p>
      <w:pPr>
        <w:pStyle w:val="27"/>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7"/>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7"/>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7"/>
        <w:rPr>
          <w:b/>
          <w:bCs/>
          <w:sz w:val="28"/>
          <w:szCs w:val="28"/>
        </w:rPr>
      </w:pPr>
      <w:r>
        <w:rPr>
          <w:rFonts w:hint="eastAsia"/>
          <w:b/>
          <w:bCs/>
          <w:sz w:val="28"/>
          <w:szCs w:val="28"/>
        </w:rPr>
        <w:t>16、投标保证金</w:t>
      </w:r>
      <w:bookmarkEnd w:id="96"/>
      <w:bookmarkEnd w:id="97"/>
    </w:p>
    <w:p>
      <w:pPr>
        <w:pStyle w:val="27"/>
        <w:rPr>
          <w:bCs/>
          <w:sz w:val="28"/>
          <w:szCs w:val="28"/>
        </w:rPr>
      </w:pPr>
      <w:r>
        <w:rPr>
          <w:rFonts w:hint="eastAsia"/>
          <w:sz w:val="28"/>
          <w:szCs w:val="28"/>
        </w:rPr>
        <w:t>16.1</w:t>
      </w:r>
      <w:r>
        <w:rPr>
          <w:rFonts w:hint="eastAsia"/>
          <w:bCs/>
          <w:sz w:val="28"/>
          <w:szCs w:val="28"/>
        </w:rPr>
        <w:t>在开标时，未按要求提交投标保证金的投标无效。</w:t>
      </w:r>
    </w:p>
    <w:p>
      <w:pPr>
        <w:pStyle w:val="27"/>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7"/>
        <w:rPr>
          <w:bCs/>
          <w:sz w:val="28"/>
          <w:szCs w:val="28"/>
        </w:rPr>
      </w:pPr>
      <w:r>
        <w:rPr>
          <w:rFonts w:hint="eastAsia"/>
          <w:sz w:val="28"/>
          <w:szCs w:val="28"/>
        </w:rPr>
        <w:t>16.3</w:t>
      </w:r>
      <w:r>
        <w:rPr>
          <w:rFonts w:hint="eastAsia"/>
          <w:bCs/>
          <w:sz w:val="28"/>
          <w:szCs w:val="28"/>
        </w:rPr>
        <w:t>下列任何情况发生时，投标保证金将不予退还：</w:t>
      </w:r>
    </w:p>
    <w:p>
      <w:pPr>
        <w:pStyle w:val="27"/>
        <w:rPr>
          <w:bCs/>
          <w:sz w:val="28"/>
          <w:szCs w:val="28"/>
        </w:rPr>
      </w:pPr>
      <w:r>
        <w:rPr>
          <w:rFonts w:hint="eastAsia"/>
          <w:bCs/>
          <w:sz w:val="28"/>
          <w:szCs w:val="28"/>
        </w:rPr>
        <w:t>（1）投标人在投标有效期内撤回其投标；</w:t>
      </w:r>
    </w:p>
    <w:p>
      <w:pPr>
        <w:pStyle w:val="27"/>
        <w:rPr>
          <w:bCs/>
          <w:sz w:val="28"/>
          <w:szCs w:val="28"/>
        </w:rPr>
      </w:pPr>
      <w:r>
        <w:rPr>
          <w:rFonts w:hint="eastAsia"/>
          <w:bCs/>
          <w:sz w:val="28"/>
          <w:szCs w:val="28"/>
        </w:rPr>
        <w:t>（2）投标人提供的有关资料、资格证明文件被确认是不真实的；</w:t>
      </w:r>
    </w:p>
    <w:p>
      <w:pPr>
        <w:pStyle w:val="27"/>
        <w:rPr>
          <w:sz w:val="28"/>
          <w:szCs w:val="28"/>
        </w:rPr>
      </w:pPr>
      <w:r>
        <w:rPr>
          <w:rFonts w:hint="eastAsia"/>
          <w:sz w:val="28"/>
          <w:szCs w:val="28"/>
        </w:rPr>
        <w:t>（3）投标人之间被证实有串通（统一哄抬价格）、欺诈行为；</w:t>
      </w:r>
    </w:p>
    <w:p>
      <w:pPr>
        <w:pStyle w:val="27"/>
        <w:rPr>
          <w:sz w:val="28"/>
          <w:szCs w:val="28"/>
        </w:rPr>
      </w:pPr>
      <w:r>
        <w:rPr>
          <w:rFonts w:hint="eastAsia"/>
          <w:sz w:val="28"/>
          <w:szCs w:val="28"/>
        </w:rPr>
        <w:t>（4）投标人被证明有妨碍其他人公平竞争、损害采购人或者其他投标人合法权益的；</w:t>
      </w:r>
    </w:p>
    <w:p>
      <w:pPr>
        <w:pStyle w:val="27"/>
        <w:rPr>
          <w:b/>
          <w:bCs/>
          <w:sz w:val="28"/>
          <w:szCs w:val="28"/>
        </w:rPr>
      </w:pPr>
      <w:bookmarkStart w:id="98" w:name="_Hlt26670489"/>
      <w:bookmarkEnd w:id="98"/>
      <w:bookmarkStart w:id="99" w:name="_Hlt26954739"/>
      <w:bookmarkEnd w:id="99"/>
      <w:bookmarkStart w:id="100" w:name="_Hlt26954850"/>
      <w:bookmarkEnd w:id="100"/>
      <w:bookmarkStart w:id="101" w:name="_Hlt26954852"/>
      <w:bookmarkEnd w:id="101"/>
      <w:bookmarkStart w:id="102" w:name="_Hlt26954734"/>
      <w:bookmarkEnd w:id="102"/>
      <w:bookmarkStart w:id="103" w:name="_Toc49090512"/>
      <w:bookmarkStart w:id="104" w:name="_Toc14577361"/>
      <w:r>
        <w:rPr>
          <w:rFonts w:hint="eastAsia"/>
          <w:b/>
          <w:bCs/>
          <w:sz w:val="28"/>
          <w:szCs w:val="28"/>
        </w:rPr>
        <w:t>17、投标文件份数和签署</w:t>
      </w:r>
      <w:bookmarkEnd w:id="103"/>
      <w:bookmarkEnd w:id="104"/>
    </w:p>
    <w:p>
      <w:pPr>
        <w:pStyle w:val="27"/>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7"/>
        <w:rPr>
          <w:sz w:val="28"/>
          <w:szCs w:val="28"/>
        </w:rPr>
      </w:pPr>
      <w:r>
        <w:rPr>
          <w:rFonts w:hint="eastAsia"/>
          <w:sz w:val="28"/>
          <w:szCs w:val="28"/>
        </w:rPr>
        <w:t>17.2投标文件的正本须经法定代表人或授权代表签署和加盖投标人公章。</w:t>
      </w:r>
    </w:p>
    <w:p>
      <w:pPr>
        <w:pStyle w:val="27"/>
        <w:rPr>
          <w:b/>
          <w:sz w:val="28"/>
          <w:szCs w:val="28"/>
        </w:rPr>
      </w:pPr>
      <w:bookmarkStart w:id="105" w:name="_Toc120614217"/>
      <w:bookmarkStart w:id="106" w:name="_Toc16938540"/>
      <w:bookmarkStart w:id="107" w:name="_Toc517190885"/>
      <w:bookmarkStart w:id="108" w:name="_Toc513029224"/>
      <w:bookmarkStart w:id="109" w:name="_Toc20823296"/>
      <w:r>
        <w:rPr>
          <w:rFonts w:hint="eastAsia"/>
          <w:b/>
          <w:sz w:val="28"/>
          <w:szCs w:val="28"/>
        </w:rPr>
        <w:t>四、投标文件的递交</w:t>
      </w:r>
      <w:bookmarkEnd w:id="105"/>
      <w:bookmarkEnd w:id="106"/>
      <w:bookmarkEnd w:id="107"/>
      <w:bookmarkEnd w:id="108"/>
      <w:bookmarkEnd w:id="109"/>
    </w:p>
    <w:p>
      <w:pPr>
        <w:pStyle w:val="27"/>
        <w:rPr>
          <w:b/>
          <w:bCs/>
          <w:sz w:val="28"/>
          <w:szCs w:val="28"/>
        </w:rPr>
      </w:pPr>
      <w:bookmarkStart w:id="110" w:name="_Toc513029225"/>
      <w:bookmarkStart w:id="111" w:name="_Toc20823297"/>
      <w:bookmarkStart w:id="112" w:name="_Toc462564084"/>
      <w:bookmarkStart w:id="113" w:name="_Toc16938541"/>
      <w:r>
        <w:rPr>
          <w:rFonts w:hint="eastAsia"/>
          <w:b/>
          <w:bCs/>
          <w:sz w:val="28"/>
          <w:szCs w:val="28"/>
        </w:rPr>
        <w:t>18、投标文件的密封和标记</w:t>
      </w:r>
      <w:bookmarkEnd w:id="110"/>
      <w:bookmarkEnd w:id="111"/>
      <w:bookmarkEnd w:id="112"/>
      <w:bookmarkEnd w:id="113"/>
    </w:p>
    <w:p>
      <w:pPr>
        <w:pStyle w:val="27"/>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7"/>
        <w:rPr>
          <w:bCs/>
          <w:sz w:val="28"/>
          <w:szCs w:val="28"/>
        </w:rPr>
      </w:pPr>
      <w:r>
        <w:rPr>
          <w:rFonts w:hint="eastAsia"/>
          <w:sz w:val="28"/>
          <w:szCs w:val="28"/>
        </w:rPr>
        <w:t>18.2</w:t>
      </w:r>
      <w:r>
        <w:rPr>
          <w:rFonts w:hint="eastAsia"/>
          <w:bCs/>
          <w:sz w:val="28"/>
          <w:szCs w:val="28"/>
        </w:rPr>
        <w:t>密封的投标文件应：</w:t>
      </w:r>
    </w:p>
    <w:p>
      <w:pPr>
        <w:pStyle w:val="27"/>
        <w:rPr>
          <w:bCs/>
          <w:sz w:val="28"/>
          <w:szCs w:val="28"/>
        </w:rPr>
      </w:pPr>
      <w:r>
        <w:rPr>
          <w:rFonts w:hint="eastAsia"/>
          <w:bCs/>
          <w:sz w:val="28"/>
          <w:szCs w:val="28"/>
        </w:rPr>
        <w:t>（1）注明投标人名称，如因标注不清而产生的后果由投标人自负。</w:t>
      </w:r>
    </w:p>
    <w:p>
      <w:pPr>
        <w:pStyle w:val="27"/>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7"/>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7"/>
        <w:rPr>
          <w:b/>
          <w:bCs/>
          <w:sz w:val="28"/>
          <w:szCs w:val="28"/>
        </w:rPr>
      </w:pPr>
      <w:bookmarkStart w:id="114" w:name="_Toc16938542"/>
      <w:bookmarkStart w:id="115" w:name="_Toc20823298"/>
      <w:bookmarkStart w:id="116" w:name="_Toc513029226"/>
      <w:r>
        <w:rPr>
          <w:rFonts w:hint="eastAsia"/>
          <w:b/>
          <w:bCs/>
          <w:sz w:val="28"/>
          <w:szCs w:val="28"/>
        </w:rPr>
        <w:t>19、投标截止</w:t>
      </w:r>
      <w:bookmarkEnd w:id="114"/>
      <w:bookmarkEnd w:id="115"/>
      <w:bookmarkEnd w:id="116"/>
      <w:r>
        <w:rPr>
          <w:rFonts w:hint="eastAsia"/>
          <w:b/>
          <w:bCs/>
          <w:sz w:val="28"/>
          <w:szCs w:val="28"/>
        </w:rPr>
        <w:t>时间</w:t>
      </w:r>
    </w:p>
    <w:p>
      <w:pPr>
        <w:pStyle w:val="27"/>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7"/>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7"/>
        <w:rPr>
          <w:b/>
          <w:bCs/>
          <w:sz w:val="28"/>
          <w:szCs w:val="28"/>
        </w:rPr>
      </w:pPr>
      <w:bookmarkStart w:id="117" w:name="_Toc16938543"/>
      <w:bookmarkStart w:id="118" w:name="_Toc513029227"/>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7"/>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7"/>
        <w:rPr>
          <w:bCs/>
          <w:sz w:val="28"/>
          <w:szCs w:val="28"/>
        </w:rPr>
      </w:pPr>
      <w:r>
        <w:rPr>
          <w:rFonts w:hint="eastAsia"/>
          <w:bCs/>
          <w:sz w:val="28"/>
          <w:szCs w:val="28"/>
        </w:rPr>
        <w:t>20.2未按照招标文件要求的格式编制的投标文件，后果由投标人承担。</w:t>
      </w:r>
    </w:p>
    <w:p>
      <w:pPr>
        <w:pStyle w:val="27"/>
        <w:rPr>
          <w:b/>
          <w:bCs/>
          <w:sz w:val="28"/>
          <w:szCs w:val="28"/>
        </w:rPr>
      </w:pPr>
      <w:bookmarkStart w:id="120" w:name="_Toc16938544"/>
      <w:bookmarkStart w:id="121" w:name="_Toc513029228"/>
      <w:bookmarkStart w:id="122" w:name="_Toc20823300"/>
      <w:r>
        <w:rPr>
          <w:rFonts w:hint="eastAsia"/>
          <w:b/>
          <w:bCs/>
          <w:sz w:val="28"/>
          <w:szCs w:val="28"/>
        </w:rPr>
        <w:t>21、投标文件的修改和撤回</w:t>
      </w:r>
      <w:bookmarkEnd w:id="120"/>
      <w:bookmarkEnd w:id="121"/>
      <w:bookmarkEnd w:id="122"/>
    </w:p>
    <w:p>
      <w:pPr>
        <w:pStyle w:val="27"/>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7"/>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7"/>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7"/>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7"/>
        <w:rPr>
          <w:b/>
          <w:sz w:val="28"/>
          <w:szCs w:val="28"/>
        </w:rPr>
      </w:pPr>
      <w:bookmarkStart w:id="123" w:name="_Toc120614218"/>
      <w:bookmarkStart w:id="124" w:name="_Toc16938545"/>
      <w:bookmarkStart w:id="125" w:name="_Toc517190886"/>
      <w:bookmarkStart w:id="126" w:name="_Toc513029229"/>
      <w:bookmarkStart w:id="127" w:name="_Toc20823301"/>
      <w:r>
        <w:rPr>
          <w:rFonts w:hint="eastAsia"/>
          <w:b/>
          <w:sz w:val="28"/>
          <w:szCs w:val="28"/>
        </w:rPr>
        <w:t>五、开标与评标</w:t>
      </w:r>
      <w:bookmarkEnd w:id="123"/>
      <w:bookmarkEnd w:id="124"/>
      <w:bookmarkEnd w:id="125"/>
      <w:bookmarkEnd w:id="126"/>
      <w:bookmarkEnd w:id="127"/>
    </w:p>
    <w:p>
      <w:pPr>
        <w:pStyle w:val="27"/>
        <w:rPr>
          <w:b/>
          <w:bCs/>
          <w:sz w:val="28"/>
          <w:szCs w:val="28"/>
        </w:rPr>
      </w:pPr>
      <w:bookmarkStart w:id="128" w:name="_Toc513029230"/>
      <w:bookmarkStart w:id="129" w:name="_Toc16938546"/>
      <w:bookmarkStart w:id="130" w:name="_Toc20823302"/>
      <w:r>
        <w:rPr>
          <w:rFonts w:hint="eastAsia"/>
          <w:b/>
          <w:bCs/>
          <w:sz w:val="28"/>
          <w:szCs w:val="28"/>
        </w:rPr>
        <w:t>22、开标</w:t>
      </w:r>
      <w:bookmarkEnd w:id="128"/>
      <w:bookmarkEnd w:id="129"/>
      <w:bookmarkEnd w:id="130"/>
    </w:p>
    <w:p>
      <w:pPr>
        <w:pStyle w:val="27"/>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7"/>
        <w:rPr>
          <w:bCs/>
          <w:sz w:val="28"/>
          <w:szCs w:val="28"/>
        </w:rPr>
      </w:pPr>
      <w:r>
        <w:rPr>
          <w:rFonts w:hint="eastAsia"/>
          <w:sz w:val="28"/>
          <w:szCs w:val="28"/>
        </w:rPr>
        <w:t>22.2</w:t>
      </w:r>
      <w:r>
        <w:rPr>
          <w:rFonts w:hint="eastAsia"/>
          <w:bCs/>
          <w:sz w:val="28"/>
          <w:szCs w:val="28"/>
        </w:rPr>
        <w:t>按照规定同意撤回的投标将不予开封。</w:t>
      </w:r>
    </w:p>
    <w:p>
      <w:pPr>
        <w:pStyle w:val="27"/>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7"/>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7"/>
        <w:rPr>
          <w:sz w:val="28"/>
          <w:szCs w:val="28"/>
        </w:rPr>
      </w:pPr>
      <w:r>
        <w:rPr>
          <w:sz w:val="28"/>
          <w:szCs w:val="28"/>
        </w:rPr>
        <w:t>2</w:t>
      </w:r>
      <w:r>
        <w:rPr>
          <w:rFonts w:hint="eastAsia"/>
          <w:sz w:val="28"/>
          <w:szCs w:val="28"/>
        </w:rPr>
        <w:t>2.5投标人在报价时不允许采用选择性报价，否则将被视为无效投标。</w:t>
      </w:r>
    </w:p>
    <w:p>
      <w:pPr>
        <w:pStyle w:val="27"/>
        <w:rPr>
          <w:bCs/>
          <w:sz w:val="28"/>
          <w:szCs w:val="28"/>
        </w:rPr>
      </w:pPr>
      <w:r>
        <w:rPr>
          <w:rFonts w:hint="eastAsia"/>
          <w:bCs/>
          <w:sz w:val="28"/>
          <w:szCs w:val="28"/>
        </w:rPr>
        <w:t>22.6投标截止时间结束后参加投标的供应商不足三家的，不得开标。</w:t>
      </w:r>
    </w:p>
    <w:p>
      <w:pPr>
        <w:pStyle w:val="27"/>
        <w:rPr>
          <w:b/>
          <w:bCs/>
          <w:sz w:val="28"/>
          <w:szCs w:val="28"/>
        </w:rPr>
      </w:pPr>
      <w:bookmarkStart w:id="131" w:name="_Toc513029231"/>
      <w:bookmarkStart w:id="132" w:name="_Toc20823303"/>
      <w:bookmarkStart w:id="133" w:name="_Toc16938547"/>
      <w:r>
        <w:rPr>
          <w:rFonts w:hint="eastAsia"/>
          <w:b/>
          <w:bCs/>
          <w:sz w:val="28"/>
          <w:szCs w:val="28"/>
        </w:rPr>
        <w:t>23、评标</w:t>
      </w:r>
    </w:p>
    <w:p>
      <w:pPr>
        <w:pStyle w:val="27"/>
        <w:rPr>
          <w:b/>
          <w:sz w:val="28"/>
          <w:szCs w:val="28"/>
        </w:rPr>
      </w:pPr>
      <w:r>
        <w:rPr>
          <w:rFonts w:hint="eastAsia"/>
          <w:sz w:val="28"/>
          <w:szCs w:val="28"/>
        </w:rPr>
        <w:t>23.1开标后，采购人将组织评标委员会（以下简称评委会）进行评标。</w:t>
      </w:r>
    </w:p>
    <w:p>
      <w:pPr>
        <w:pStyle w:val="27"/>
        <w:ind w:left="330" w:leftChars="150" w:firstLine="140" w:firstLineChars="50"/>
        <w:rPr>
          <w:sz w:val="28"/>
          <w:szCs w:val="28"/>
        </w:rPr>
      </w:pPr>
      <w:r>
        <w:rPr>
          <w:rFonts w:hint="eastAsia"/>
          <w:sz w:val="28"/>
          <w:szCs w:val="28"/>
        </w:rPr>
        <w:t>23.2评委会独立工作，负责评审所有投标文件并确定中标侯选人。</w:t>
      </w:r>
    </w:p>
    <w:p>
      <w:pPr>
        <w:pStyle w:val="27"/>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7"/>
        <w:rPr>
          <w:b/>
          <w:bCs/>
          <w:sz w:val="28"/>
          <w:szCs w:val="28"/>
        </w:rPr>
      </w:pPr>
      <w:bookmarkStart w:id="134" w:name="_Toc16938548"/>
      <w:bookmarkStart w:id="135" w:name="_Toc20823304"/>
      <w:bookmarkStart w:id="136" w:name="_Toc513029232"/>
      <w:r>
        <w:rPr>
          <w:rFonts w:hint="eastAsia"/>
          <w:b/>
          <w:bCs/>
          <w:sz w:val="28"/>
          <w:szCs w:val="28"/>
        </w:rPr>
        <w:t>24．投标的澄清</w:t>
      </w:r>
      <w:bookmarkEnd w:id="134"/>
      <w:bookmarkEnd w:id="135"/>
      <w:bookmarkEnd w:id="136"/>
    </w:p>
    <w:p>
      <w:pPr>
        <w:pStyle w:val="27"/>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7"/>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7"/>
        <w:rPr>
          <w:sz w:val="28"/>
          <w:szCs w:val="28"/>
        </w:rPr>
      </w:pPr>
      <w:r>
        <w:rPr>
          <w:rFonts w:hint="eastAsia"/>
          <w:sz w:val="28"/>
          <w:szCs w:val="28"/>
        </w:rPr>
        <w:t>24.3 接到评委会澄清要求的投标人如未按规定做出澄清，后果由投标人自行承担。</w:t>
      </w:r>
    </w:p>
    <w:p>
      <w:pPr>
        <w:pStyle w:val="27"/>
        <w:rPr>
          <w:b/>
          <w:bCs/>
          <w:sz w:val="28"/>
          <w:szCs w:val="28"/>
        </w:rPr>
      </w:pPr>
      <w:bookmarkStart w:id="137" w:name="_Toc16938550"/>
      <w:bookmarkStart w:id="138" w:name="_Toc20823306"/>
      <w:bookmarkStart w:id="139" w:name="_Toc513029234"/>
      <w:r>
        <w:rPr>
          <w:rFonts w:hint="eastAsia"/>
          <w:b/>
          <w:bCs/>
          <w:sz w:val="28"/>
          <w:szCs w:val="28"/>
        </w:rPr>
        <w:t>25、</w:t>
      </w:r>
      <w:bookmarkEnd w:id="137"/>
      <w:bookmarkEnd w:id="138"/>
      <w:bookmarkEnd w:id="139"/>
      <w:r>
        <w:rPr>
          <w:rFonts w:hint="eastAsia"/>
          <w:b/>
          <w:bCs/>
          <w:sz w:val="28"/>
          <w:szCs w:val="28"/>
        </w:rPr>
        <w:t>无效投标条款和废标条款</w:t>
      </w:r>
    </w:p>
    <w:p>
      <w:pPr>
        <w:pStyle w:val="27"/>
        <w:rPr>
          <w:bCs/>
          <w:sz w:val="28"/>
          <w:szCs w:val="28"/>
        </w:rPr>
      </w:pPr>
      <w:bookmarkStart w:id="140" w:name="_Toc513029235"/>
      <w:bookmarkStart w:id="141" w:name="_Toc16938551"/>
      <w:bookmarkStart w:id="142" w:name="_Toc20823307"/>
      <w:r>
        <w:rPr>
          <w:rFonts w:hint="eastAsia"/>
          <w:bCs/>
          <w:sz w:val="28"/>
          <w:szCs w:val="28"/>
        </w:rPr>
        <w:t>25.1无效投标条款</w:t>
      </w:r>
    </w:p>
    <w:p>
      <w:pPr>
        <w:pStyle w:val="27"/>
        <w:rPr>
          <w:bCs/>
          <w:sz w:val="28"/>
          <w:szCs w:val="28"/>
        </w:rPr>
      </w:pPr>
      <w:r>
        <w:rPr>
          <w:rFonts w:hint="eastAsia"/>
          <w:bCs/>
          <w:sz w:val="28"/>
          <w:szCs w:val="28"/>
        </w:rPr>
        <w:t>（1）未按要求交纳投标保证金的。</w:t>
      </w:r>
    </w:p>
    <w:p>
      <w:pPr>
        <w:pStyle w:val="27"/>
        <w:rPr>
          <w:bCs/>
          <w:sz w:val="28"/>
          <w:szCs w:val="28"/>
        </w:rPr>
      </w:pPr>
      <w:r>
        <w:rPr>
          <w:rFonts w:hint="eastAsia"/>
          <w:bCs/>
          <w:sz w:val="28"/>
          <w:szCs w:val="28"/>
        </w:rPr>
        <w:t>（2）未按照招标文件规定要求密封、签署、盖章的。</w:t>
      </w:r>
    </w:p>
    <w:p>
      <w:pPr>
        <w:pStyle w:val="27"/>
        <w:rPr>
          <w:bCs/>
          <w:sz w:val="28"/>
          <w:szCs w:val="28"/>
        </w:rPr>
      </w:pPr>
      <w:r>
        <w:rPr>
          <w:rFonts w:hint="eastAsia"/>
          <w:bCs/>
          <w:sz w:val="28"/>
          <w:szCs w:val="28"/>
        </w:rPr>
        <w:t>（3）投标人在报价时采用选择性报价的。</w:t>
      </w:r>
    </w:p>
    <w:p>
      <w:pPr>
        <w:pStyle w:val="27"/>
        <w:rPr>
          <w:bCs/>
          <w:sz w:val="28"/>
          <w:szCs w:val="28"/>
        </w:rPr>
      </w:pPr>
      <w:r>
        <w:rPr>
          <w:rFonts w:hint="eastAsia"/>
          <w:bCs/>
          <w:sz w:val="28"/>
          <w:szCs w:val="28"/>
        </w:rPr>
        <w:t>（4）投标人不具备招标文件中规定资格要求的。</w:t>
      </w:r>
    </w:p>
    <w:p>
      <w:pPr>
        <w:pStyle w:val="27"/>
        <w:rPr>
          <w:bCs/>
          <w:sz w:val="28"/>
          <w:szCs w:val="28"/>
        </w:rPr>
      </w:pPr>
      <w:r>
        <w:rPr>
          <w:rFonts w:hint="eastAsia"/>
          <w:bCs/>
          <w:sz w:val="28"/>
          <w:szCs w:val="28"/>
        </w:rPr>
        <w:t>（5）投标人的报价超过了采购预算或最高限价的。</w:t>
      </w:r>
    </w:p>
    <w:p>
      <w:pPr>
        <w:pStyle w:val="27"/>
        <w:rPr>
          <w:bCs/>
          <w:i/>
          <w:sz w:val="28"/>
          <w:szCs w:val="28"/>
          <w:u w:val="single"/>
        </w:rPr>
      </w:pPr>
      <w:r>
        <w:rPr>
          <w:rFonts w:hint="eastAsia"/>
          <w:bCs/>
          <w:sz w:val="28"/>
          <w:szCs w:val="28"/>
        </w:rPr>
        <w:t>（6）未通过符合性检查的。</w:t>
      </w:r>
    </w:p>
    <w:p>
      <w:pPr>
        <w:pStyle w:val="27"/>
        <w:rPr>
          <w:bCs/>
          <w:i/>
          <w:sz w:val="28"/>
          <w:szCs w:val="28"/>
          <w:u w:val="single"/>
        </w:rPr>
      </w:pPr>
      <w:r>
        <w:rPr>
          <w:rFonts w:hint="eastAsia"/>
          <w:bCs/>
          <w:sz w:val="28"/>
          <w:szCs w:val="28"/>
        </w:rPr>
        <w:t>（7）不符合招标文件中规定的其他实质性要求和条件的。</w:t>
      </w:r>
    </w:p>
    <w:p>
      <w:pPr>
        <w:pStyle w:val="27"/>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7"/>
        <w:rPr>
          <w:bCs/>
          <w:sz w:val="28"/>
          <w:szCs w:val="28"/>
        </w:rPr>
      </w:pPr>
      <w:r>
        <w:rPr>
          <w:rFonts w:hint="eastAsia"/>
          <w:bCs/>
          <w:sz w:val="28"/>
          <w:szCs w:val="28"/>
        </w:rPr>
        <w:t>（9）投标文件含有采购人不能接受的附加条件的。</w:t>
      </w:r>
    </w:p>
    <w:p>
      <w:pPr>
        <w:pStyle w:val="27"/>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7"/>
        <w:rPr>
          <w:bCs/>
          <w:sz w:val="28"/>
          <w:szCs w:val="28"/>
        </w:rPr>
      </w:pPr>
      <w:r>
        <w:rPr>
          <w:rFonts w:hint="eastAsia"/>
          <w:bCs/>
          <w:sz w:val="28"/>
          <w:szCs w:val="28"/>
        </w:rPr>
        <w:t>（11）其他法律、法规及本招标文件规定的属无效投标的情形。</w:t>
      </w:r>
    </w:p>
    <w:p>
      <w:pPr>
        <w:pStyle w:val="27"/>
        <w:rPr>
          <w:bCs/>
          <w:sz w:val="28"/>
          <w:szCs w:val="28"/>
        </w:rPr>
      </w:pPr>
      <w:r>
        <w:rPr>
          <w:rFonts w:hint="eastAsia"/>
          <w:bCs/>
          <w:sz w:val="28"/>
          <w:szCs w:val="28"/>
        </w:rPr>
        <w:t>25.2废标条款：</w:t>
      </w:r>
    </w:p>
    <w:p>
      <w:pPr>
        <w:pStyle w:val="27"/>
        <w:rPr>
          <w:bCs/>
          <w:sz w:val="28"/>
          <w:szCs w:val="28"/>
        </w:rPr>
      </w:pPr>
      <w:r>
        <w:rPr>
          <w:rFonts w:hint="eastAsia"/>
          <w:bCs/>
          <w:sz w:val="28"/>
          <w:szCs w:val="28"/>
        </w:rPr>
        <w:t>（1）符合专业条件的供应商或者对招标文件作实质响应的供应商不足三家的。</w:t>
      </w:r>
    </w:p>
    <w:p>
      <w:pPr>
        <w:pStyle w:val="27"/>
        <w:rPr>
          <w:bCs/>
          <w:sz w:val="28"/>
          <w:szCs w:val="28"/>
        </w:rPr>
      </w:pPr>
      <w:r>
        <w:rPr>
          <w:rFonts w:hint="eastAsia"/>
          <w:bCs/>
          <w:sz w:val="28"/>
          <w:szCs w:val="28"/>
        </w:rPr>
        <w:t>（2）出现影响采购公正的违法、违规行为的。</w:t>
      </w:r>
    </w:p>
    <w:p>
      <w:pPr>
        <w:pStyle w:val="27"/>
        <w:rPr>
          <w:bCs/>
          <w:sz w:val="28"/>
          <w:szCs w:val="28"/>
        </w:rPr>
      </w:pPr>
      <w:r>
        <w:rPr>
          <w:rFonts w:hint="eastAsia"/>
          <w:bCs/>
          <w:sz w:val="28"/>
          <w:szCs w:val="28"/>
        </w:rPr>
        <w:t>（3）因重大变故，采购任务取消的。</w:t>
      </w:r>
    </w:p>
    <w:p>
      <w:pPr>
        <w:pStyle w:val="27"/>
        <w:rPr>
          <w:bCs/>
          <w:sz w:val="28"/>
          <w:szCs w:val="28"/>
        </w:rPr>
      </w:pPr>
      <w:r>
        <w:rPr>
          <w:rFonts w:hint="eastAsia"/>
          <w:bCs/>
          <w:sz w:val="28"/>
          <w:szCs w:val="28"/>
        </w:rPr>
        <w:t>（4）评标委员会认定招标文件存在歧义、重大缺陷导致评审工作无法进行的。</w:t>
      </w:r>
    </w:p>
    <w:p>
      <w:pPr>
        <w:pStyle w:val="27"/>
        <w:rPr>
          <w:b/>
          <w:sz w:val="28"/>
          <w:szCs w:val="28"/>
        </w:rPr>
      </w:pPr>
      <w:bookmarkStart w:id="143" w:name="_Toc517190887"/>
      <w:bookmarkStart w:id="144" w:name="_Toc120614219"/>
      <w:r>
        <w:rPr>
          <w:rFonts w:hint="eastAsia"/>
          <w:b/>
          <w:sz w:val="28"/>
          <w:szCs w:val="28"/>
        </w:rPr>
        <w:t>六、</w:t>
      </w:r>
      <w:bookmarkEnd w:id="140"/>
      <w:bookmarkEnd w:id="141"/>
      <w:bookmarkEnd w:id="142"/>
      <w:r>
        <w:rPr>
          <w:rFonts w:hint="eastAsia"/>
          <w:b/>
          <w:sz w:val="28"/>
          <w:szCs w:val="28"/>
        </w:rPr>
        <w:t>定标</w:t>
      </w:r>
      <w:bookmarkEnd w:id="143"/>
      <w:bookmarkEnd w:id="144"/>
    </w:p>
    <w:p>
      <w:pPr>
        <w:pStyle w:val="27"/>
        <w:rPr>
          <w:b/>
          <w:sz w:val="28"/>
          <w:szCs w:val="28"/>
        </w:rPr>
      </w:pPr>
      <w:bookmarkStart w:id="145" w:name="_Toc513029238"/>
      <w:bookmarkStart w:id="146" w:name="_Toc16938554"/>
      <w:bookmarkStart w:id="147" w:name="_Toc20823310"/>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7"/>
        <w:rPr>
          <w:bCs/>
          <w:sz w:val="28"/>
          <w:szCs w:val="28"/>
        </w:rPr>
      </w:pPr>
      <w:r>
        <w:rPr>
          <w:rFonts w:hint="eastAsia"/>
          <w:bCs/>
          <w:sz w:val="28"/>
          <w:szCs w:val="28"/>
        </w:rPr>
        <w:t>26.1评委会根据本招标文件规定评分办法与评分标准确定中标人；</w:t>
      </w:r>
    </w:p>
    <w:p>
      <w:pPr>
        <w:pStyle w:val="27"/>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7"/>
        <w:rPr>
          <w:sz w:val="28"/>
          <w:szCs w:val="28"/>
        </w:rPr>
      </w:pPr>
      <w:r>
        <w:rPr>
          <w:rFonts w:hint="eastAsia"/>
          <w:sz w:val="28"/>
          <w:szCs w:val="28"/>
        </w:rPr>
        <w:t>2</w:t>
      </w:r>
      <w:bookmarkStart w:id="148" w:name="OLE_LINK4"/>
      <w:bookmarkStart w:id="149" w:name="OLE_LINK5"/>
      <w:bookmarkStart w:id="150" w:name="OLE_LINK7"/>
      <w:bookmarkStart w:id="151" w:name="OLE_LINK3"/>
      <w:bookmarkStart w:id="152" w:name="OLE_LINK8"/>
      <w:bookmarkStart w:id="153" w:name="OLE_LINK6"/>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7"/>
        <w:rPr>
          <w:sz w:val="28"/>
          <w:szCs w:val="28"/>
        </w:rPr>
      </w:pPr>
      <w:r>
        <w:rPr>
          <w:rFonts w:hint="eastAsia"/>
          <w:sz w:val="28"/>
          <w:szCs w:val="28"/>
        </w:rPr>
        <w:t>（1）提供虚假材料谋取中标的；</w:t>
      </w:r>
    </w:p>
    <w:p>
      <w:pPr>
        <w:pStyle w:val="27"/>
        <w:rPr>
          <w:sz w:val="28"/>
          <w:szCs w:val="28"/>
        </w:rPr>
      </w:pPr>
      <w:r>
        <w:rPr>
          <w:rFonts w:hint="eastAsia"/>
          <w:sz w:val="28"/>
          <w:szCs w:val="28"/>
        </w:rPr>
        <w:t>（2）向采购人、评审专家行贿或者提供其他不正当利益的；</w:t>
      </w:r>
    </w:p>
    <w:p>
      <w:pPr>
        <w:pStyle w:val="27"/>
        <w:rPr>
          <w:sz w:val="28"/>
          <w:szCs w:val="28"/>
        </w:rPr>
      </w:pPr>
      <w:r>
        <w:rPr>
          <w:rFonts w:hint="eastAsia"/>
          <w:sz w:val="28"/>
          <w:szCs w:val="28"/>
        </w:rPr>
        <w:t>（3）恶意竞争，投标总报价明显低于其自身合理成本且又无法提供证明的；</w:t>
      </w:r>
    </w:p>
    <w:p>
      <w:pPr>
        <w:pStyle w:val="27"/>
        <w:rPr>
          <w:sz w:val="28"/>
          <w:szCs w:val="28"/>
        </w:rPr>
      </w:pPr>
      <w:r>
        <w:rPr>
          <w:rFonts w:hint="eastAsia"/>
          <w:sz w:val="28"/>
          <w:szCs w:val="28"/>
        </w:rPr>
        <w:t>（4）属于本文件规定的无效条件，但在评标过程中又未被评委会发现的；</w:t>
      </w:r>
    </w:p>
    <w:p>
      <w:pPr>
        <w:pStyle w:val="27"/>
        <w:rPr>
          <w:sz w:val="28"/>
          <w:szCs w:val="28"/>
        </w:rPr>
      </w:pPr>
      <w:r>
        <w:rPr>
          <w:rFonts w:hint="eastAsia"/>
          <w:sz w:val="28"/>
          <w:szCs w:val="28"/>
        </w:rPr>
        <w:t>（5）与采购人或者其他供应商恶意串通的；</w:t>
      </w:r>
    </w:p>
    <w:p>
      <w:pPr>
        <w:pStyle w:val="27"/>
        <w:rPr>
          <w:sz w:val="28"/>
          <w:szCs w:val="28"/>
        </w:rPr>
      </w:pPr>
      <w:r>
        <w:rPr>
          <w:rFonts w:hint="eastAsia"/>
          <w:sz w:val="28"/>
          <w:szCs w:val="28"/>
        </w:rPr>
        <w:t>（6）采取不正当手段诋毁、排挤其他供应商的；</w:t>
      </w:r>
    </w:p>
    <w:p>
      <w:pPr>
        <w:pStyle w:val="27"/>
        <w:rPr>
          <w:sz w:val="28"/>
          <w:szCs w:val="28"/>
        </w:rPr>
      </w:pPr>
      <w:r>
        <w:rPr>
          <w:rFonts w:hint="eastAsia"/>
          <w:sz w:val="28"/>
          <w:szCs w:val="28"/>
        </w:rPr>
        <w:t>（7）不符合法律、法规的规定的。</w:t>
      </w:r>
      <w:bookmarkStart w:id="154" w:name="_Toc200451960"/>
    </w:p>
    <w:p>
      <w:pPr>
        <w:pStyle w:val="27"/>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7"/>
        <w:rPr>
          <w:sz w:val="28"/>
          <w:szCs w:val="28"/>
        </w:rPr>
      </w:pPr>
      <w:r>
        <w:rPr>
          <w:rFonts w:hint="eastAsia"/>
          <w:sz w:val="28"/>
          <w:szCs w:val="28"/>
        </w:rPr>
        <w:t>（1）不同投标人的投标文件由同一单位或者个人编制；</w:t>
      </w:r>
    </w:p>
    <w:p>
      <w:pPr>
        <w:pStyle w:val="27"/>
        <w:rPr>
          <w:sz w:val="28"/>
          <w:szCs w:val="28"/>
        </w:rPr>
      </w:pPr>
      <w:r>
        <w:rPr>
          <w:rFonts w:hint="eastAsia"/>
          <w:sz w:val="28"/>
          <w:szCs w:val="28"/>
        </w:rPr>
        <w:t>（2）不同投标人委托同一单位或者个人办理投标事宜；</w:t>
      </w:r>
    </w:p>
    <w:p>
      <w:pPr>
        <w:pStyle w:val="27"/>
        <w:rPr>
          <w:sz w:val="28"/>
          <w:szCs w:val="28"/>
        </w:rPr>
      </w:pPr>
      <w:r>
        <w:rPr>
          <w:rFonts w:hint="eastAsia"/>
          <w:sz w:val="28"/>
          <w:szCs w:val="28"/>
        </w:rPr>
        <w:t>（3）不同投标人的投标文件载明的项目管理成员或者联系人员为同一人；</w:t>
      </w:r>
    </w:p>
    <w:p>
      <w:pPr>
        <w:pStyle w:val="27"/>
        <w:rPr>
          <w:sz w:val="28"/>
          <w:szCs w:val="28"/>
        </w:rPr>
      </w:pPr>
      <w:r>
        <w:rPr>
          <w:rFonts w:hint="eastAsia"/>
          <w:sz w:val="28"/>
          <w:szCs w:val="28"/>
        </w:rPr>
        <w:t>（4）不同投标人的投标文件异常一致或者投标报价呈规律性差异；</w:t>
      </w:r>
    </w:p>
    <w:p>
      <w:pPr>
        <w:pStyle w:val="27"/>
        <w:rPr>
          <w:sz w:val="28"/>
          <w:szCs w:val="28"/>
        </w:rPr>
      </w:pPr>
      <w:r>
        <w:rPr>
          <w:rFonts w:hint="eastAsia"/>
          <w:sz w:val="28"/>
          <w:szCs w:val="28"/>
        </w:rPr>
        <w:t>（5）不同投标人的投标文件相互混装；</w:t>
      </w:r>
    </w:p>
    <w:p>
      <w:pPr>
        <w:pStyle w:val="27"/>
        <w:rPr>
          <w:sz w:val="28"/>
          <w:szCs w:val="28"/>
        </w:rPr>
      </w:pPr>
      <w:r>
        <w:rPr>
          <w:rFonts w:hint="eastAsia"/>
          <w:sz w:val="28"/>
          <w:szCs w:val="28"/>
        </w:rPr>
        <w:t>（6）不同投标人的投标保证金从同一单位或者个人的账户转出。</w:t>
      </w:r>
    </w:p>
    <w:p>
      <w:pPr>
        <w:pStyle w:val="27"/>
        <w:rPr>
          <w:b/>
          <w:sz w:val="28"/>
          <w:szCs w:val="28"/>
        </w:rPr>
      </w:pPr>
      <w:r>
        <w:rPr>
          <w:rFonts w:hint="eastAsia"/>
          <w:b/>
          <w:sz w:val="28"/>
          <w:szCs w:val="28"/>
        </w:rPr>
        <w:t>27、质疑处理</w:t>
      </w:r>
      <w:bookmarkEnd w:id="154"/>
    </w:p>
    <w:p>
      <w:pPr>
        <w:pStyle w:val="27"/>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7"/>
        <w:rPr>
          <w:b/>
          <w:sz w:val="28"/>
          <w:szCs w:val="28"/>
        </w:rPr>
      </w:pPr>
      <w:r>
        <w:rPr>
          <w:rFonts w:hint="eastAsia"/>
          <w:b/>
          <w:sz w:val="28"/>
          <w:szCs w:val="28"/>
        </w:rPr>
        <w:t>28、中标通知书</w:t>
      </w:r>
    </w:p>
    <w:p>
      <w:pPr>
        <w:pStyle w:val="27"/>
        <w:rPr>
          <w:sz w:val="28"/>
          <w:szCs w:val="28"/>
        </w:rPr>
      </w:pPr>
      <w:r>
        <w:rPr>
          <w:rFonts w:hint="eastAsia"/>
          <w:sz w:val="28"/>
          <w:szCs w:val="28"/>
        </w:rPr>
        <w:t>28.1中标结果确定后，采购人将向中标供应商发出中标通知书。</w:t>
      </w:r>
    </w:p>
    <w:p>
      <w:pPr>
        <w:pStyle w:val="27"/>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7"/>
        <w:rPr>
          <w:b/>
          <w:sz w:val="28"/>
          <w:szCs w:val="28"/>
        </w:rPr>
      </w:pPr>
      <w:bookmarkStart w:id="155" w:name="_Toc517190888"/>
      <w:bookmarkStart w:id="156" w:name="_Toc120614220"/>
      <w:bookmarkStart w:id="157" w:name="_Toc16938552"/>
      <w:bookmarkStart w:id="158" w:name="_Toc20823308"/>
      <w:bookmarkStart w:id="159" w:name="_Toc513029236"/>
      <w:r>
        <w:rPr>
          <w:rFonts w:hint="eastAsia"/>
          <w:b/>
          <w:sz w:val="28"/>
          <w:szCs w:val="28"/>
        </w:rPr>
        <w:t>七、授予合同</w:t>
      </w:r>
      <w:bookmarkEnd w:id="155"/>
      <w:bookmarkEnd w:id="156"/>
    </w:p>
    <w:bookmarkEnd w:id="157"/>
    <w:bookmarkEnd w:id="158"/>
    <w:bookmarkEnd w:id="159"/>
    <w:p>
      <w:pPr>
        <w:pStyle w:val="27"/>
        <w:rPr>
          <w:b/>
          <w:sz w:val="28"/>
          <w:szCs w:val="28"/>
        </w:rPr>
      </w:pPr>
      <w:bookmarkStart w:id="160" w:name="_Toc20823309"/>
      <w:bookmarkStart w:id="161" w:name="_Toc513029237"/>
      <w:bookmarkStart w:id="162" w:name="_Toc16938553"/>
      <w:r>
        <w:rPr>
          <w:rFonts w:hint="eastAsia"/>
          <w:b/>
          <w:sz w:val="28"/>
          <w:szCs w:val="28"/>
        </w:rPr>
        <w:t>29. 签订合同</w:t>
      </w:r>
    </w:p>
    <w:p>
      <w:pPr>
        <w:pStyle w:val="27"/>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7"/>
        <w:rPr>
          <w:sz w:val="28"/>
          <w:szCs w:val="28"/>
        </w:rPr>
      </w:pPr>
      <w:r>
        <w:rPr>
          <w:rFonts w:hint="eastAsia"/>
          <w:sz w:val="28"/>
          <w:szCs w:val="28"/>
        </w:rPr>
        <w:t>29.2招标文件、中标人的投标文件及招标过程中有关澄清、承诺文件均应作为合同附件。</w:t>
      </w:r>
    </w:p>
    <w:p>
      <w:pPr>
        <w:pStyle w:val="27"/>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7"/>
        <w:rPr>
          <w:b/>
          <w:sz w:val="28"/>
          <w:szCs w:val="28"/>
        </w:rPr>
      </w:pPr>
      <w:bookmarkStart w:id="163" w:name="_Toc517190889"/>
      <w:r>
        <w:rPr>
          <w:rFonts w:hint="eastAsia"/>
          <w:b/>
          <w:sz w:val="28"/>
          <w:szCs w:val="28"/>
        </w:rPr>
        <w:t>八、其他</w:t>
      </w:r>
      <w:bookmarkEnd w:id="163"/>
    </w:p>
    <w:p>
      <w:pPr>
        <w:pStyle w:val="27"/>
        <w:rPr>
          <w:b/>
          <w:sz w:val="28"/>
          <w:szCs w:val="28"/>
        </w:rPr>
      </w:pPr>
      <w:r>
        <w:rPr>
          <w:rFonts w:hint="eastAsia"/>
          <w:b/>
          <w:sz w:val="28"/>
          <w:szCs w:val="28"/>
        </w:rPr>
        <w:t>30、样品</w:t>
      </w:r>
    </w:p>
    <w:p>
      <w:pPr>
        <w:pStyle w:val="27"/>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7"/>
        <w:rPr>
          <w:sz w:val="28"/>
          <w:szCs w:val="28"/>
        </w:rPr>
      </w:pPr>
      <w:r>
        <w:rPr>
          <w:rFonts w:hint="eastAsia"/>
          <w:bCs/>
          <w:sz w:val="28"/>
          <w:szCs w:val="28"/>
        </w:rPr>
        <w:t>未中标人自通知之日起一个月内未撤回样品，采购人可自行处理，后果自负。</w:t>
      </w:r>
    </w:p>
    <w:p>
      <w:pPr>
        <w:pStyle w:val="3"/>
        <w:rPr>
          <w:rFonts w:asciiTheme="minorEastAsia" w:hAnsiTheme="minorEastAsia" w:eastAsiaTheme="minorEastAsia"/>
          <w:b/>
          <w:sz w:val="44"/>
          <w:szCs w:val="44"/>
        </w:rPr>
      </w:pPr>
    </w:p>
    <w:p>
      <w:pPr>
        <w:pStyle w:val="3"/>
        <w:jc w:val="left"/>
        <w:rPr>
          <w:rFonts w:asciiTheme="minorEastAsia" w:hAnsiTheme="minorEastAsia" w:eastAsiaTheme="minorEastAsia"/>
          <w:b/>
          <w:sz w:val="44"/>
          <w:szCs w:val="44"/>
        </w:rPr>
      </w:pPr>
    </w:p>
    <w:p>
      <w:pPr>
        <w:pStyle w:val="3"/>
        <w:keepNext w:val="0"/>
        <w:pageBreakBefore/>
        <w:numPr>
          <w:ilvl w:val="0"/>
          <w:numId w:val="2"/>
        </w:numPr>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 xml:space="preserve">  项目需求</w:t>
      </w:r>
      <w:bookmarkEnd w:id="164"/>
    </w:p>
    <w:p/>
    <w:p>
      <w:pPr>
        <w:pStyle w:val="4"/>
        <w:spacing w:before="0" w:afterLines="50" w:line="360" w:lineRule="auto"/>
        <w:rPr>
          <w:rFonts w:ascii="Arial" w:hAnsi="Arial" w:eastAsia="宋体" w:cs="Times New Roman"/>
          <w:bCs w:val="0"/>
          <w:sz w:val="28"/>
          <w:szCs w:val="28"/>
        </w:rPr>
      </w:pPr>
      <w:bookmarkStart w:id="165" w:name="_Toc8981734"/>
      <w:r>
        <w:rPr>
          <w:rFonts w:hint="eastAsia" w:ascii="Arial" w:hAnsi="Arial" w:eastAsia="宋体" w:cs="Times New Roman"/>
          <w:bCs w:val="0"/>
          <w:sz w:val="28"/>
          <w:szCs w:val="28"/>
        </w:rPr>
        <w:t>一、项目概述</w:t>
      </w:r>
      <w:bookmarkEnd w:id="165"/>
    </w:p>
    <w:p>
      <w:pPr>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南京医科大学通过分子模拟研究小分子与靶标的相互作用，设计并制备一系列的目标化合物，进行结构表征和药效学评价，从中总结构效关系并优选化合物，让学生全程体验从药物设计到药物合成的完整过程，培养学生的创新药物研发能力。学生将置身于较为逼真的虚拟实验场景中，利用虚拟技术完成整个实验操作，实现学生点击实验装置和仪器设备，进入具体实验操作过程，设置相关问题和互动环节。演示和训练评测相互结合。虚拟实验能够记录学生的参与情况和评价学生的实验效果，达到人机互动的实验效果。</w:t>
      </w:r>
    </w:p>
    <w:p>
      <w:pPr>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虚拟实验项目要求画面运行流畅，虚拟场景逼真，符合国家关于信息化系统建设的标准规范。通过为学生提供虚拟项目平台，使学生可以虚实结合，反复训练或设计实验，提高学生创新思维及创新实验技能。</w:t>
      </w:r>
    </w:p>
    <w:p>
      <w:pPr>
        <w:pStyle w:val="4"/>
        <w:spacing w:before="0" w:afterLines="50" w:line="360" w:lineRule="auto"/>
        <w:rPr>
          <w:rFonts w:ascii="Arial" w:hAnsi="Arial" w:eastAsia="宋体" w:cs="Times New Roman"/>
          <w:bCs w:val="0"/>
          <w:sz w:val="28"/>
          <w:szCs w:val="28"/>
        </w:rPr>
      </w:pPr>
      <w:bookmarkStart w:id="166" w:name="_Toc26237"/>
      <w:bookmarkStart w:id="167" w:name="_Toc8981735"/>
      <w:r>
        <w:rPr>
          <w:rFonts w:hint="eastAsia" w:ascii="Arial" w:hAnsi="Arial" w:eastAsia="宋体" w:cs="Times New Roman"/>
          <w:bCs w:val="0"/>
          <w:sz w:val="28"/>
          <w:szCs w:val="28"/>
        </w:rPr>
        <w:t>二、项目总体要求</w:t>
      </w:r>
      <w:bookmarkEnd w:id="166"/>
      <w:bookmarkEnd w:id="167"/>
    </w:p>
    <w:p>
      <w:pPr>
        <w:pStyle w:val="9"/>
        <w:spacing w:line="360" w:lineRule="auto"/>
        <w:ind w:left="0" w:leftChars="0" w:firstLine="560" w:firstLineChars="200"/>
        <w:rPr>
          <w:rFonts w:ascii="Arial" w:hAnsi="Arial" w:eastAsia="宋体" w:cs="Times New Roman"/>
          <w:bCs/>
          <w:sz w:val="28"/>
          <w:szCs w:val="28"/>
        </w:rPr>
      </w:pPr>
      <w:r>
        <w:rPr>
          <w:rFonts w:hint="eastAsia" w:ascii="Arial" w:hAnsi="Arial" w:eastAsia="宋体" w:cs="Times New Roman"/>
          <w:bCs/>
          <w:sz w:val="28"/>
          <w:szCs w:val="28"/>
        </w:rPr>
        <w:t>1.所开发的虚拟仿真实验至少满足2个课时的实验教学需求，学生实验操作步骤不得少于10步；</w:t>
      </w:r>
    </w:p>
    <w:p>
      <w:pPr>
        <w:pStyle w:val="9"/>
        <w:spacing w:line="360" w:lineRule="auto"/>
        <w:ind w:left="0" w:leftChars="0" w:firstLine="560" w:firstLineChars="200"/>
        <w:rPr>
          <w:rFonts w:ascii="Arial" w:hAnsi="Arial" w:eastAsia="宋体" w:cs="Times New Roman"/>
          <w:bCs/>
          <w:sz w:val="28"/>
          <w:szCs w:val="28"/>
        </w:rPr>
      </w:pPr>
      <w:r>
        <w:rPr>
          <w:rFonts w:hint="eastAsia" w:ascii="Arial" w:hAnsi="Arial" w:eastAsia="宋体" w:cs="Times New Roman"/>
          <w:bCs/>
          <w:sz w:val="28"/>
          <w:szCs w:val="28"/>
        </w:rPr>
        <w:t>2.所开发的虚拟实验要求知识产权归南京医科大学所有，软件能反映教育教学规律，符合专业实践教学发展方向，体现专业教学需求；</w:t>
      </w:r>
    </w:p>
    <w:p>
      <w:pPr>
        <w:pStyle w:val="9"/>
        <w:spacing w:line="360" w:lineRule="auto"/>
        <w:ind w:left="0" w:leftChars="0" w:firstLine="560" w:firstLineChars="200"/>
        <w:rPr>
          <w:rFonts w:ascii="Arial" w:hAnsi="Arial" w:eastAsia="宋体" w:cs="Times New Roman"/>
          <w:bCs/>
          <w:sz w:val="28"/>
          <w:szCs w:val="28"/>
        </w:rPr>
      </w:pPr>
      <w:r>
        <w:rPr>
          <w:rFonts w:hint="eastAsia" w:ascii="Arial" w:hAnsi="Arial" w:eastAsia="宋体" w:cs="Times New Roman"/>
          <w:bCs/>
          <w:sz w:val="28"/>
          <w:szCs w:val="28"/>
        </w:rPr>
        <w:t>3.虚拟仿真实验要求可纳入国家级虚拟仿真实验教学共享平台；</w:t>
      </w:r>
    </w:p>
    <w:p>
      <w:pPr>
        <w:pStyle w:val="9"/>
        <w:spacing w:line="360" w:lineRule="auto"/>
        <w:ind w:left="0" w:leftChars="0" w:firstLine="560" w:firstLineChars="200"/>
        <w:rPr>
          <w:rFonts w:ascii="Arial" w:hAnsi="Arial" w:eastAsia="宋体" w:cs="Times New Roman"/>
          <w:bCs/>
          <w:sz w:val="28"/>
          <w:szCs w:val="28"/>
        </w:rPr>
      </w:pPr>
      <w:r>
        <w:rPr>
          <w:rFonts w:hint="eastAsia" w:ascii="Arial" w:hAnsi="Arial" w:eastAsia="宋体" w:cs="Times New Roman"/>
          <w:bCs/>
          <w:sz w:val="28"/>
          <w:szCs w:val="28"/>
        </w:rPr>
        <w:t>4.能够确保校内外互联网网络链接地址直接指向实验项目；</w:t>
      </w:r>
    </w:p>
    <w:p>
      <w:pPr>
        <w:pStyle w:val="4"/>
        <w:spacing w:before="0" w:afterLines="50" w:line="360" w:lineRule="auto"/>
        <w:rPr>
          <w:rFonts w:ascii="Arial" w:hAnsi="Arial" w:eastAsia="宋体" w:cs="Times New Roman"/>
          <w:bCs w:val="0"/>
          <w:sz w:val="28"/>
          <w:szCs w:val="28"/>
        </w:rPr>
      </w:pPr>
      <w:bookmarkStart w:id="168" w:name="_Toc8981736"/>
      <w:r>
        <w:rPr>
          <w:rFonts w:hint="eastAsia" w:ascii="Arial" w:hAnsi="Arial" w:eastAsia="宋体" w:cs="Times New Roman"/>
          <w:bCs w:val="0"/>
          <w:sz w:val="28"/>
          <w:szCs w:val="28"/>
        </w:rPr>
        <w:t>三、软件运行要求</w:t>
      </w:r>
      <w:bookmarkEnd w:id="168"/>
    </w:p>
    <w:p>
      <w:pPr>
        <w:pStyle w:val="9"/>
        <w:spacing w:line="360" w:lineRule="auto"/>
        <w:ind w:left="0" w:leftChars="0" w:firstLine="560" w:firstLineChars="200"/>
        <w:rPr>
          <w:rFonts w:ascii="Arial" w:hAnsi="Arial" w:eastAsia="宋体" w:cs="Times New Roman"/>
          <w:bCs/>
          <w:sz w:val="28"/>
          <w:szCs w:val="28"/>
        </w:rPr>
      </w:pPr>
      <w:r>
        <w:rPr>
          <w:rFonts w:hint="eastAsia" w:ascii="Arial" w:hAnsi="Arial" w:eastAsia="宋体" w:cs="Times New Roman"/>
          <w:bCs/>
          <w:sz w:val="28"/>
          <w:szCs w:val="28"/>
        </w:rPr>
        <w:t>1.支持在Win7及以上操作系统上运行。</w:t>
      </w:r>
    </w:p>
    <w:p>
      <w:pPr>
        <w:pStyle w:val="9"/>
        <w:spacing w:line="360" w:lineRule="auto"/>
        <w:ind w:left="0" w:leftChars="0" w:firstLine="560" w:firstLineChars="200"/>
        <w:rPr>
          <w:rFonts w:ascii="Arial" w:hAnsi="Arial" w:eastAsia="宋体" w:cs="Times New Roman"/>
          <w:bCs/>
          <w:sz w:val="28"/>
          <w:szCs w:val="28"/>
        </w:rPr>
      </w:pPr>
      <w:r>
        <w:rPr>
          <w:rFonts w:hint="eastAsia" w:ascii="Arial" w:hAnsi="Arial" w:eastAsia="宋体" w:cs="Times New Roman"/>
          <w:bCs/>
          <w:sz w:val="28"/>
          <w:szCs w:val="28"/>
        </w:rPr>
        <w:t>2.操作方便，使用键盘鼠标即可操作，不需要外加设备。</w:t>
      </w:r>
    </w:p>
    <w:p>
      <w:pPr>
        <w:pStyle w:val="9"/>
        <w:spacing w:line="360" w:lineRule="auto"/>
        <w:ind w:left="0" w:leftChars="0" w:firstLine="560" w:firstLineChars="200"/>
        <w:rPr>
          <w:rFonts w:ascii="Arial" w:hAnsi="Arial" w:eastAsia="宋体" w:cs="Times New Roman"/>
          <w:bCs/>
          <w:sz w:val="28"/>
          <w:szCs w:val="28"/>
        </w:rPr>
      </w:pPr>
      <w:r>
        <w:rPr>
          <w:rFonts w:hint="eastAsia" w:ascii="Arial" w:hAnsi="Arial" w:eastAsia="宋体" w:cs="Times New Roman"/>
          <w:bCs/>
          <w:sz w:val="28"/>
          <w:szCs w:val="28"/>
        </w:rPr>
        <w:t>3.虚拟实验结果要求：通过虚拟实验得出的实验结果应具有合理性、科学性及不确定性。</w:t>
      </w:r>
    </w:p>
    <w:p>
      <w:pPr>
        <w:pStyle w:val="9"/>
        <w:spacing w:line="360" w:lineRule="auto"/>
        <w:ind w:left="0" w:leftChars="0" w:firstLine="560" w:firstLineChars="200"/>
        <w:rPr>
          <w:rFonts w:ascii="Arial" w:hAnsi="Arial" w:eastAsia="宋体" w:cs="Times New Roman"/>
          <w:bCs/>
          <w:sz w:val="28"/>
          <w:szCs w:val="28"/>
        </w:rPr>
      </w:pPr>
      <w:r>
        <w:rPr>
          <w:rFonts w:hint="eastAsia" w:ascii="Arial" w:hAnsi="Arial" w:eastAsia="宋体" w:cs="Times New Roman"/>
          <w:bCs/>
          <w:sz w:val="28"/>
          <w:szCs w:val="28"/>
        </w:rPr>
        <w:t>4.实验采用unity3D技术开发，平台使用java开发，平台要求不限制操作系统，windows,linux,unix服务器上均可运行。</w:t>
      </w:r>
    </w:p>
    <w:p>
      <w:pPr>
        <w:pStyle w:val="9"/>
        <w:spacing w:line="360" w:lineRule="auto"/>
        <w:ind w:left="0" w:leftChars="0" w:firstLine="560" w:firstLineChars="200"/>
        <w:rPr>
          <w:rFonts w:ascii="Arial" w:hAnsi="Arial" w:eastAsia="宋体" w:cs="Times New Roman"/>
          <w:bCs/>
          <w:sz w:val="28"/>
          <w:szCs w:val="28"/>
        </w:rPr>
      </w:pPr>
      <w:r>
        <w:rPr>
          <w:rFonts w:hint="eastAsia" w:ascii="Arial" w:hAnsi="Arial" w:eastAsia="宋体" w:cs="Times New Roman"/>
          <w:bCs/>
          <w:sz w:val="28"/>
          <w:szCs w:val="28"/>
        </w:rPr>
        <w:t>5．所开发的虚拟仿真实验必须以B/S模式运行，无需安装客户端，虚拟仿真实验能直接用浏览器打开进行实验，能实时记录实验过程信息、参数、实验结果，能通过平台提交虚拟仿真实验报告。</w:t>
      </w:r>
    </w:p>
    <w:p>
      <w:pPr>
        <w:pStyle w:val="9"/>
        <w:spacing w:line="360" w:lineRule="auto"/>
        <w:ind w:left="0" w:leftChars="0" w:firstLine="560" w:firstLineChars="200"/>
        <w:rPr>
          <w:rFonts w:ascii="Arial" w:hAnsi="Arial" w:eastAsia="宋体" w:cs="Times New Roman"/>
          <w:bCs/>
          <w:sz w:val="28"/>
          <w:szCs w:val="28"/>
        </w:rPr>
      </w:pPr>
      <w:r>
        <w:rPr>
          <w:rFonts w:hint="eastAsia" w:ascii="Arial" w:hAnsi="Arial" w:eastAsia="宋体" w:cs="Times New Roman"/>
          <w:bCs/>
          <w:sz w:val="28"/>
          <w:szCs w:val="28"/>
        </w:rPr>
        <w:t>6．虚拟仿真实验环境要求：虚拟仿真实验应包括实验中所需要的各类实验场景，如实验室、虚拟设备以及仿真室内外工作场景，可实现多场景室内外自由漫游。</w:t>
      </w:r>
    </w:p>
    <w:p>
      <w:pPr>
        <w:pStyle w:val="4"/>
        <w:spacing w:before="0" w:afterLines="50" w:line="360" w:lineRule="auto"/>
        <w:rPr>
          <w:rFonts w:ascii="Arial" w:hAnsi="Arial" w:eastAsia="宋体" w:cs="Times New Roman"/>
          <w:bCs w:val="0"/>
          <w:sz w:val="28"/>
          <w:szCs w:val="28"/>
        </w:rPr>
      </w:pPr>
      <w:bookmarkStart w:id="169" w:name="_Toc7475"/>
      <w:bookmarkStart w:id="170" w:name="_Toc1257"/>
      <w:bookmarkStart w:id="171" w:name="_Toc8981737"/>
      <w:r>
        <w:rPr>
          <w:rFonts w:hint="eastAsia" w:ascii="Arial" w:hAnsi="Arial" w:eastAsia="宋体" w:cs="Times New Roman"/>
          <w:bCs w:val="0"/>
          <w:sz w:val="28"/>
          <w:szCs w:val="28"/>
        </w:rPr>
        <w:t>四、</w:t>
      </w:r>
      <w:bookmarkEnd w:id="169"/>
      <w:r>
        <w:rPr>
          <w:rFonts w:hint="eastAsia" w:ascii="Arial" w:hAnsi="Arial" w:eastAsia="宋体" w:cs="Times New Roman"/>
          <w:bCs w:val="0"/>
          <w:sz w:val="28"/>
          <w:szCs w:val="28"/>
        </w:rPr>
        <w:t>实验</w:t>
      </w:r>
      <w:bookmarkEnd w:id="170"/>
      <w:r>
        <w:rPr>
          <w:rFonts w:hint="eastAsia" w:ascii="Arial" w:hAnsi="Arial" w:eastAsia="宋体" w:cs="Times New Roman"/>
          <w:bCs w:val="0"/>
          <w:sz w:val="28"/>
          <w:szCs w:val="28"/>
        </w:rPr>
        <w:t>功能要求</w:t>
      </w:r>
      <w:bookmarkEnd w:id="171"/>
    </w:p>
    <w:p>
      <w:pPr>
        <w:pStyle w:val="9"/>
        <w:spacing w:line="360" w:lineRule="auto"/>
        <w:ind w:left="0" w:leftChars="0" w:firstLine="560" w:firstLineChars="200"/>
        <w:rPr>
          <w:rFonts w:ascii="Arial" w:hAnsi="Arial" w:eastAsia="宋体" w:cs="Times New Roman"/>
          <w:bCs/>
          <w:sz w:val="28"/>
          <w:szCs w:val="28"/>
        </w:rPr>
      </w:pPr>
      <w:r>
        <w:rPr>
          <w:rFonts w:hint="eastAsia" w:ascii="Arial" w:hAnsi="Arial" w:eastAsia="宋体" w:cs="Times New Roman"/>
          <w:bCs/>
          <w:sz w:val="28"/>
          <w:szCs w:val="28"/>
        </w:rPr>
        <w:t>1．虚拟实验采用全三维建模，具有实验原理和相关知识学习：主要介绍与该实验相关的知识。</w:t>
      </w:r>
    </w:p>
    <w:p>
      <w:pPr>
        <w:pStyle w:val="9"/>
        <w:spacing w:line="360" w:lineRule="auto"/>
        <w:ind w:left="0" w:leftChars="0" w:firstLine="560" w:firstLineChars="200"/>
        <w:rPr>
          <w:rFonts w:ascii="Arial" w:hAnsi="Arial" w:eastAsia="宋体" w:cs="Times New Roman"/>
          <w:bCs/>
          <w:sz w:val="28"/>
          <w:szCs w:val="28"/>
        </w:rPr>
      </w:pPr>
      <w:r>
        <w:rPr>
          <w:rFonts w:hint="eastAsia" w:ascii="Arial" w:hAnsi="Arial" w:eastAsia="宋体" w:cs="Times New Roman"/>
          <w:bCs/>
          <w:sz w:val="28"/>
          <w:szCs w:val="28"/>
        </w:rPr>
        <w:t>2．虚拟实验软件提供虚拟实验的演示、学习和考核等不同模式，并且在整个实验过程中可以在不同模式之间无缝自由切换。在演示模式中，系统自动执行虚拟实验演示操作方法。在学习模式中，通过打开提示，可以根据详细的步骤提示、3D物体上的红光闪烁引导对于实验操作步骤进行学习，在引导下完成虚拟实验。在考核模式下，操作者在没有提示的情况下独立完成整个实验。详细的步骤提示可以通过平台自由修改。</w:t>
      </w:r>
    </w:p>
    <w:p>
      <w:pPr>
        <w:pStyle w:val="9"/>
        <w:spacing w:line="360" w:lineRule="auto"/>
        <w:ind w:left="0" w:leftChars="0" w:firstLine="560" w:firstLineChars="200"/>
        <w:rPr>
          <w:rFonts w:ascii="Arial" w:hAnsi="Arial" w:eastAsia="宋体" w:cs="Times New Roman"/>
          <w:bCs/>
          <w:sz w:val="28"/>
          <w:szCs w:val="28"/>
        </w:rPr>
      </w:pPr>
      <w:r>
        <w:rPr>
          <w:rFonts w:hint="eastAsia" w:ascii="Arial" w:hAnsi="Arial" w:eastAsia="宋体" w:cs="Times New Roman"/>
          <w:bCs/>
          <w:sz w:val="28"/>
          <w:szCs w:val="28"/>
        </w:rPr>
        <w:t>3．打分和计时：在不通过管理平台修改设置的情况下，系统按照预先设定的默认方式进行打分和计时。也可以通过管理平台进行以下操作：修改每个步骤的打分、加入其它错误扣分方式、修改默认计时时间等。</w:t>
      </w:r>
    </w:p>
    <w:p>
      <w:pPr>
        <w:pStyle w:val="9"/>
        <w:spacing w:line="360" w:lineRule="auto"/>
        <w:ind w:left="0" w:leftChars="0" w:firstLine="560" w:firstLineChars="200"/>
        <w:rPr>
          <w:rFonts w:ascii="Arial" w:hAnsi="Arial" w:eastAsia="宋体" w:cs="Times New Roman"/>
          <w:bCs/>
          <w:sz w:val="28"/>
          <w:szCs w:val="28"/>
        </w:rPr>
      </w:pPr>
      <w:r>
        <w:rPr>
          <w:rFonts w:hint="eastAsia" w:ascii="Arial" w:hAnsi="Arial" w:eastAsia="宋体" w:cs="Times New Roman"/>
          <w:bCs/>
          <w:sz w:val="28"/>
          <w:szCs w:val="28"/>
        </w:rPr>
        <w:t>4．实验加载后，会出现实验封面，该封面上一般会显示实验名称、主要仪器型号以及主要仪器设备的图像。</w:t>
      </w:r>
    </w:p>
    <w:p>
      <w:pPr>
        <w:pStyle w:val="9"/>
        <w:spacing w:line="360" w:lineRule="auto"/>
        <w:ind w:left="0" w:leftChars="0" w:firstLine="560" w:firstLineChars="200"/>
        <w:rPr>
          <w:rFonts w:ascii="Arial" w:hAnsi="Arial" w:eastAsia="宋体" w:cs="Times New Roman"/>
          <w:bCs/>
          <w:sz w:val="28"/>
          <w:szCs w:val="28"/>
        </w:rPr>
      </w:pPr>
      <w:r>
        <w:rPr>
          <w:rFonts w:hint="eastAsia" w:ascii="Arial" w:hAnsi="Arial" w:eastAsia="宋体" w:cs="Times New Roman"/>
          <w:bCs/>
          <w:sz w:val="28"/>
          <w:szCs w:val="28"/>
        </w:rPr>
        <w:t>5．进入实验中以后首先进入前置教学环节。首先展示与实验相关的教学知识，如实验目的、实验原理。点击“跳过目的原理”进入下一教学环节。在文字、图片介绍之后，会在三维场景中对于实验所涉及的仪器和装置及其重要部件进行介绍。</w:t>
      </w:r>
    </w:p>
    <w:p>
      <w:pPr>
        <w:pStyle w:val="9"/>
        <w:spacing w:line="360" w:lineRule="auto"/>
        <w:ind w:left="0" w:leftChars="0" w:firstLine="560" w:firstLineChars="200"/>
        <w:rPr>
          <w:rFonts w:ascii="Arial" w:hAnsi="Arial" w:eastAsia="宋体" w:cs="Times New Roman"/>
          <w:bCs/>
          <w:sz w:val="28"/>
          <w:szCs w:val="28"/>
        </w:rPr>
      </w:pPr>
      <w:r>
        <w:rPr>
          <w:rFonts w:hint="eastAsia" w:ascii="Arial" w:hAnsi="Arial" w:eastAsia="宋体" w:cs="Times New Roman"/>
          <w:bCs/>
          <w:sz w:val="28"/>
          <w:szCs w:val="28"/>
        </w:rPr>
        <w:t>6．虚拟实验通过W、A、S、D控制前进、后退、左移和右移，Z、X控制放大、缩小，鼠标右键控制角度，鼠标左键控制选取物品。</w:t>
      </w:r>
    </w:p>
    <w:p>
      <w:pPr>
        <w:pStyle w:val="9"/>
        <w:spacing w:line="360" w:lineRule="auto"/>
        <w:ind w:left="0" w:leftChars="0" w:firstLine="560" w:firstLineChars="200"/>
        <w:rPr>
          <w:rFonts w:ascii="Arial" w:hAnsi="Arial" w:eastAsia="宋体" w:cs="Times New Roman"/>
          <w:bCs/>
          <w:sz w:val="28"/>
          <w:szCs w:val="28"/>
        </w:rPr>
      </w:pPr>
      <w:r>
        <w:rPr>
          <w:rFonts w:hint="eastAsia" w:ascii="Arial" w:hAnsi="Arial" w:eastAsia="宋体" w:cs="Times New Roman"/>
          <w:bCs/>
          <w:sz w:val="28"/>
          <w:szCs w:val="28"/>
        </w:rPr>
        <w:t>7．实验配备语音系统，操作过程通过语音系统，朗读操作步骤提示，操作过程中可以听到操作步骤说明。朗读内容可以通过平台自由修改，并且与实验中所显示的文字提示内容可以分别独立修改。</w:t>
      </w:r>
    </w:p>
    <w:p>
      <w:pPr>
        <w:pStyle w:val="9"/>
        <w:spacing w:line="360" w:lineRule="auto"/>
        <w:ind w:left="0" w:leftChars="0" w:firstLine="560" w:firstLineChars="200"/>
        <w:rPr>
          <w:rFonts w:ascii="Arial" w:hAnsi="Arial" w:eastAsia="宋体" w:cs="Times New Roman"/>
          <w:bCs/>
          <w:sz w:val="28"/>
          <w:szCs w:val="28"/>
        </w:rPr>
      </w:pPr>
      <w:r>
        <w:rPr>
          <w:rFonts w:hint="eastAsia" w:ascii="Arial" w:hAnsi="Arial" w:eastAsia="宋体" w:cs="Times New Roman"/>
          <w:bCs/>
          <w:sz w:val="28"/>
          <w:szCs w:val="28"/>
        </w:rPr>
        <w:t>8．交互界面可以更换皮肤，有湖蓝色、深空灰、海蓝色三种皮肤可供切换。</w:t>
      </w:r>
    </w:p>
    <w:p>
      <w:pPr>
        <w:pStyle w:val="9"/>
        <w:spacing w:line="360" w:lineRule="auto"/>
        <w:ind w:left="0" w:leftChars="0" w:firstLine="560" w:firstLineChars="200"/>
        <w:rPr>
          <w:rFonts w:ascii="Arial" w:hAnsi="Arial" w:eastAsia="宋体" w:cs="Times New Roman"/>
          <w:bCs/>
          <w:sz w:val="28"/>
          <w:szCs w:val="28"/>
        </w:rPr>
      </w:pPr>
      <w:r>
        <w:rPr>
          <w:rFonts w:hint="eastAsia" w:ascii="Arial" w:hAnsi="Arial" w:eastAsia="宋体" w:cs="Times New Roman"/>
          <w:bCs/>
          <w:sz w:val="28"/>
          <w:szCs w:val="28"/>
        </w:rPr>
        <w:t>9．在实验过程中可以随时通过左上角的系统菜单学习实验目的、实验原理，查看实验相关数据。</w:t>
      </w:r>
    </w:p>
    <w:p>
      <w:pPr>
        <w:pStyle w:val="9"/>
        <w:spacing w:line="360" w:lineRule="auto"/>
        <w:ind w:left="0" w:leftChars="0" w:firstLine="560" w:firstLineChars="200"/>
        <w:rPr>
          <w:rFonts w:ascii="Arial" w:hAnsi="Arial" w:eastAsia="宋体" w:cs="Times New Roman"/>
          <w:bCs/>
          <w:sz w:val="28"/>
          <w:szCs w:val="28"/>
        </w:rPr>
      </w:pPr>
      <w:r>
        <w:rPr>
          <w:rFonts w:hint="eastAsia" w:ascii="Arial" w:hAnsi="Arial" w:eastAsia="宋体" w:cs="Times New Roman"/>
          <w:bCs/>
          <w:sz w:val="28"/>
          <w:szCs w:val="28"/>
        </w:rPr>
        <w:t>10．在实验过程中可以在不同的大步骤之间自由切换，可以随时跳转到其他大步骤。</w:t>
      </w:r>
    </w:p>
    <w:p>
      <w:pPr>
        <w:pStyle w:val="9"/>
        <w:spacing w:line="360" w:lineRule="auto"/>
        <w:ind w:left="0" w:leftChars="0" w:firstLine="560" w:firstLineChars="200"/>
        <w:rPr>
          <w:rFonts w:ascii="Arial" w:hAnsi="Arial" w:eastAsia="宋体" w:cs="Times New Roman"/>
          <w:bCs/>
          <w:sz w:val="28"/>
          <w:szCs w:val="28"/>
        </w:rPr>
      </w:pPr>
      <w:r>
        <w:rPr>
          <w:rFonts w:hint="eastAsia" w:ascii="Arial" w:hAnsi="Arial" w:eastAsia="宋体" w:cs="Times New Roman"/>
          <w:bCs/>
          <w:sz w:val="28"/>
          <w:szCs w:val="28"/>
        </w:rPr>
        <w:t>11．实验结果、成绩以及相关有用实验记录能够自动上传至平台，学生可以根据实验记录进行数据处理，书写实验报告，老师可以根据实验记录和自动评分进行综合打分。</w:t>
      </w:r>
    </w:p>
    <w:p>
      <w:pPr>
        <w:pStyle w:val="9"/>
        <w:spacing w:line="360" w:lineRule="auto"/>
        <w:ind w:left="0" w:leftChars="0" w:firstLine="560" w:firstLineChars="200"/>
        <w:rPr>
          <w:rFonts w:ascii="Arial" w:hAnsi="Arial" w:eastAsia="宋体" w:cs="Times New Roman"/>
          <w:bCs/>
          <w:sz w:val="28"/>
          <w:szCs w:val="28"/>
        </w:rPr>
      </w:pPr>
      <w:r>
        <w:rPr>
          <w:rFonts w:hint="eastAsia" w:ascii="Arial" w:hAnsi="Arial" w:eastAsia="宋体" w:cs="Times New Roman"/>
          <w:bCs/>
          <w:sz w:val="28"/>
          <w:szCs w:val="28"/>
        </w:rPr>
        <w:t>12．能够记录学生多次实验的用时、成绩，可以通过相关数据对于学生学习情况进行综合评价与研究，可以给出一组学生（例如一个班级、一个院系）的成绩分布统计。</w:t>
      </w:r>
    </w:p>
    <w:p>
      <w:pPr>
        <w:pStyle w:val="9"/>
        <w:spacing w:line="360" w:lineRule="auto"/>
        <w:ind w:left="0" w:leftChars="0" w:firstLine="560" w:firstLineChars="200"/>
        <w:rPr>
          <w:rFonts w:ascii="Arial" w:hAnsi="Arial" w:eastAsia="宋体" w:cs="Times New Roman"/>
          <w:bCs/>
          <w:sz w:val="28"/>
          <w:szCs w:val="28"/>
        </w:rPr>
      </w:pPr>
      <w:r>
        <w:rPr>
          <w:rFonts w:hint="eastAsia" w:ascii="Arial" w:hAnsi="Arial" w:eastAsia="宋体" w:cs="Times New Roman"/>
          <w:bCs/>
          <w:sz w:val="28"/>
          <w:szCs w:val="28"/>
        </w:rPr>
        <w:t>13．教师可以在实验的任意部分插入讲解文字和图片，也可以在实验过程中的任何一个环节插入试题，包括选择题、判断题、主观题中的任意一个或多个，系统能够自动对于选择题、判断题进行打分，能够将主观题的回答结果上传平台自动添加至实验报告中，供教师综合评判。</w:t>
      </w:r>
    </w:p>
    <w:p>
      <w:pPr>
        <w:pStyle w:val="4"/>
        <w:spacing w:before="0" w:afterLines="50" w:line="360" w:lineRule="auto"/>
        <w:rPr>
          <w:rFonts w:ascii="Arial" w:hAnsi="Arial" w:eastAsia="宋体" w:cs="Times New Roman"/>
          <w:bCs w:val="0"/>
          <w:sz w:val="28"/>
          <w:szCs w:val="28"/>
        </w:rPr>
      </w:pPr>
      <w:bookmarkStart w:id="172" w:name="_Toc8981738"/>
      <w:bookmarkStart w:id="173" w:name="_Toc16942"/>
      <w:r>
        <w:rPr>
          <w:rFonts w:hint="eastAsia" w:ascii="Arial" w:hAnsi="Arial" w:eastAsia="宋体" w:cs="Times New Roman"/>
          <w:bCs w:val="0"/>
          <w:sz w:val="28"/>
          <w:szCs w:val="28"/>
        </w:rPr>
        <w:t>五、</w:t>
      </w:r>
      <w:bookmarkStart w:id="174" w:name="_Toc11390"/>
      <w:bookmarkStart w:id="175" w:name="_Toc5176"/>
      <w:bookmarkStart w:id="176" w:name="_Toc6031"/>
      <w:r>
        <w:rPr>
          <w:rFonts w:hint="eastAsia" w:ascii="Arial" w:hAnsi="Arial" w:eastAsia="宋体" w:cs="Times New Roman"/>
          <w:bCs w:val="0"/>
          <w:sz w:val="28"/>
          <w:szCs w:val="28"/>
        </w:rPr>
        <w:t>实验设计要求</w:t>
      </w:r>
      <w:bookmarkEnd w:id="172"/>
      <w:bookmarkEnd w:id="173"/>
      <w:bookmarkEnd w:id="174"/>
      <w:bookmarkEnd w:id="175"/>
      <w:bookmarkEnd w:id="176"/>
    </w:p>
    <w:p>
      <w:pPr>
        <w:spacing w:line="360" w:lineRule="auto"/>
        <w:rPr>
          <w:rFonts w:ascii="Arial" w:hAnsi="Arial" w:eastAsia="宋体" w:cs="Times New Roman"/>
          <w:bCs/>
          <w:sz w:val="28"/>
          <w:szCs w:val="28"/>
        </w:rPr>
      </w:pPr>
      <w:r>
        <w:rPr>
          <w:rFonts w:hint="eastAsia" w:ascii="Arial" w:hAnsi="Arial" w:eastAsia="宋体" w:cs="Times New Roman"/>
          <w:bCs/>
          <w:sz w:val="28"/>
          <w:szCs w:val="28"/>
        </w:rPr>
        <w:t>1.安全性原则</w:t>
      </w:r>
    </w:p>
    <w:p>
      <w:pPr>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本系统在应用层面上采用了一整套完善的授权体系，通过对角色设置相应操作权限来保证业务操作的安全性，控制不同的登录用户权限；在数据层面上充分利用数据库提供的安全机制，在数据库备份、数据库恢复方面支持包括数据库日志备份、事务备份、数据库自动备份、灾难恢复等多种方法；系统层面的安全特性通过系统错误捕获、日志功能实现。</w:t>
      </w:r>
    </w:p>
    <w:p>
      <w:pPr>
        <w:spacing w:line="360" w:lineRule="auto"/>
        <w:rPr>
          <w:rFonts w:ascii="Arial" w:hAnsi="Arial" w:eastAsia="宋体" w:cs="Times New Roman"/>
          <w:bCs/>
          <w:sz w:val="28"/>
          <w:szCs w:val="28"/>
        </w:rPr>
      </w:pPr>
      <w:r>
        <w:rPr>
          <w:rFonts w:hint="eastAsia" w:ascii="Arial" w:hAnsi="Arial" w:eastAsia="宋体" w:cs="Times New Roman"/>
          <w:bCs/>
          <w:sz w:val="28"/>
          <w:szCs w:val="28"/>
        </w:rPr>
        <w:t>2.实用性原则</w:t>
      </w:r>
    </w:p>
    <w:p>
      <w:pPr>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系统的建设充分贴近学校教学实际，同时利用现有的比较成熟的国家科技支撑计划研究成果，结合学校的特殊要求，进行定制开发，确保系统实用可行。</w:t>
      </w:r>
    </w:p>
    <w:p>
      <w:pPr>
        <w:spacing w:line="360" w:lineRule="auto"/>
        <w:rPr>
          <w:rFonts w:ascii="Arial" w:hAnsi="Arial" w:eastAsia="宋体" w:cs="Times New Roman"/>
          <w:bCs/>
          <w:sz w:val="28"/>
          <w:szCs w:val="28"/>
        </w:rPr>
      </w:pPr>
      <w:r>
        <w:rPr>
          <w:rFonts w:hint="eastAsia" w:ascii="Arial" w:hAnsi="Arial" w:eastAsia="宋体" w:cs="Times New Roman"/>
          <w:bCs/>
          <w:sz w:val="28"/>
          <w:szCs w:val="28"/>
        </w:rPr>
        <w:t>3.开放性原则</w:t>
      </w:r>
    </w:p>
    <w:p>
      <w:pPr>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当用户需求发生少量变化或产生较简单的新需求时，用户可以在系统中自行修改或适度开发，从而提高效率、降低成本；系统模块具备灵活构建的功能，系统管理员可以根据工作业务需求增加、修改和删除系统模块及子模块，可以方便地维护信息代码。</w:t>
      </w:r>
    </w:p>
    <w:p>
      <w:pPr>
        <w:spacing w:line="360" w:lineRule="auto"/>
        <w:rPr>
          <w:rFonts w:ascii="Arial" w:hAnsi="Arial" w:eastAsia="宋体" w:cs="Times New Roman"/>
          <w:bCs/>
          <w:sz w:val="28"/>
          <w:szCs w:val="28"/>
        </w:rPr>
      </w:pPr>
      <w:r>
        <w:rPr>
          <w:rFonts w:hint="eastAsia" w:ascii="Arial" w:hAnsi="Arial" w:eastAsia="宋体" w:cs="Times New Roman"/>
          <w:bCs/>
          <w:sz w:val="28"/>
          <w:szCs w:val="28"/>
        </w:rPr>
        <w:t>4.可扩展性原则</w:t>
      </w:r>
    </w:p>
    <w:p>
      <w:pPr>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所有功能模块都遵循一套完整而健全的协议，该协议不仅将系统的各模块紧密地融合为一体，而且方便单个功能模块的添加、升级，同时能十分有效地与其他系统进行兼容和数据交换，以实现数据的充分共享。</w:t>
      </w:r>
    </w:p>
    <w:p>
      <w:pPr>
        <w:spacing w:line="360" w:lineRule="auto"/>
        <w:rPr>
          <w:rFonts w:ascii="Arial" w:hAnsi="Arial" w:eastAsia="宋体" w:cs="Times New Roman"/>
          <w:bCs/>
          <w:sz w:val="28"/>
          <w:szCs w:val="28"/>
        </w:rPr>
      </w:pPr>
      <w:r>
        <w:rPr>
          <w:rFonts w:hint="eastAsia" w:ascii="Arial" w:hAnsi="Arial" w:eastAsia="宋体" w:cs="Times New Roman"/>
          <w:bCs/>
          <w:sz w:val="28"/>
          <w:szCs w:val="28"/>
        </w:rPr>
        <w:t>5.标准化原则</w:t>
      </w:r>
    </w:p>
    <w:p>
      <w:pPr>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虚拟实验采用教育信息化标准委员会颁发的行业标准和国家标准。实验教学信息采用教育部最新高等学校标准信息子集，及时体现教育信息化进程。科学、规范化的业务设置，为各级管理部门之间的数据共享及数据交换奠定了良好的基础。数据报表完全按教育部上报格式，并保证同步更新。</w:t>
      </w:r>
    </w:p>
    <w:p>
      <w:pPr>
        <w:spacing w:line="360" w:lineRule="auto"/>
        <w:rPr>
          <w:rFonts w:ascii="Arial" w:hAnsi="Arial" w:eastAsia="宋体" w:cs="Times New Roman"/>
          <w:bCs/>
          <w:sz w:val="28"/>
          <w:szCs w:val="28"/>
        </w:rPr>
      </w:pPr>
      <w:r>
        <w:rPr>
          <w:rFonts w:hint="eastAsia" w:ascii="Arial" w:hAnsi="Arial" w:eastAsia="宋体" w:cs="Times New Roman"/>
          <w:bCs/>
          <w:sz w:val="28"/>
          <w:szCs w:val="28"/>
        </w:rPr>
        <w:t>6.易操作性原则</w:t>
      </w:r>
    </w:p>
    <w:p>
      <w:pPr>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进行专业的用户界面设计和可用性测试，窗口界面简洁、直观，菜单层次清晰，功能项（功能按钮）定义明确，操作简单，功能按钮具有指向式说明，人性化操作设计。</w:t>
      </w:r>
    </w:p>
    <w:p>
      <w:pPr>
        <w:pStyle w:val="4"/>
        <w:spacing w:before="0" w:afterLines="50" w:line="360" w:lineRule="auto"/>
        <w:rPr>
          <w:rFonts w:ascii="Arial" w:hAnsi="Arial" w:eastAsia="宋体" w:cs="Times New Roman"/>
          <w:bCs w:val="0"/>
          <w:sz w:val="28"/>
          <w:szCs w:val="28"/>
        </w:rPr>
      </w:pPr>
      <w:bookmarkStart w:id="177" w:name="_Toc8981739"/>
      <w:bookmarkStart w:id="178" w:name="_Toc16113"/>
      <w:r>
        <w:rPr>
          <w:rFonts w:hint="eastAsia" w:ascii="Arial" w:hAnsi="Arial" w:eastAsia="宋体" w:cs="Times New Roman"/>
          <w:bCs w:val="0"/>
          <w:sz w:val="28"/>
          <w:szCs w:val="28"/>
        </w:rPr>
        <w:t>六、实验开发内容</w:t>
      </w:r>
      <w:bookmarkEnd w:id="177"/>
      <w:bookmarkEnd w:id="178"/>
    </w:p>
    <w:p>
      <w:pPr>
        <w:spacing w:line="360" w:lineRule="auto"/>
        <w:ind w:firstLine="560" w:firstLineChars="200"/>
        <w:rPr>
          <w:rFonts w:ascii="Arial" w:hAnsi="Arial" w:eastAsia="宋体" w:cs="Times New Roman"/>
          <w:bCs/>
          <w:sz w:val="28"/>
          <w:szCs w:val="28"/>
        </w:rPr>
      </w:pPr>
      <w:bookmarkStart w:id="179" w:name="_Toc28770"/>
      <w:r>
        <w:rPr>
          <w:rFonts w:hint="eastAsia" w:ascii="Arial" w:hAnsi="Arial" w:eastAsia="宋体" w:cs="Times New Roman"/>
          <w:bCs/>
          <w:sz w:val="28"/>
          <w:szCs w:val="28"/>
        </w:rPr>
        <w:t>★应标文件中需根据以下建设内容，提供详细的设计方案和软件呈现形式。对实验流程中每个环节的详略取舍进行阐述。</w:t>
      </w:r>
    </w:p>
    <w:p>
      <w:pPr>
        <w:spacing w:line="360" w:lineRule="auto"/>
        <w:rPr>
          <w:rFonts w:ascii="Arial" w:hAnsi="Arial" w:eastAsia="宋体" w:cs="Times New Roman"/>
          <w:bCs/>
          <w:sz w:val="28"/>
          <w:szCs w:val="28"/>
        </w:rPr>
      </w:pPr>
      <w:r>
        <w:rPr>
          <w:rFonts w:hint="eastAsia" w:ascii="Arial" w:hAnsi="Arial" w:eastAsia="宋体" w:cs="Times New Roman"/>
          <w:bCs/>
          <w:sz w:val="28"/>
          <w:szCs w:val="28"/>
        </w:rPr>
        <w:t xml:space="preserve">1.进入实验场景 </w:t>
      </w:r>
    </w:p>
    <w:p>
      <w:pPr>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 xml:space="preserve">实验界面，点击“开始实验”后进入“学习模式”开始实验。首先观察实验场景：通过键盘的？键或上下左右键操作配合鼠标右键拖拽移动视野方向，全方位观察甲醇氧化装置图。 </w:t>
      </w:r>
    </w:p>
    <w:p>
      <w:pPr>
        <w:spacing w:line="360" w:lineRule="auto"/>
        <w:rPr>
          <w:rFonts w:ascii="Arial" w:hAnsi="Arial" w:eastAsia="宋体" w:cs="Times New Roman"/>
          <w:bCs/>
          <w:sz w:val="28"/>
          <w:szCs w:val="28"/>
        </w:rPr>
      </w:pPr>
      <w:r>
        <w:rPr>
          <w:rFonts w:hint="eastAsia" w:ascii="Arial" w:hAnsi="Arial" w:eastAsia="宋体" w:cs="Times New Roman"/>
          <w:bCs/>
          <w:sz w:val="28"/>
          <w:szCs w:val="28"/>
        </w:rPr>
        <w:t xml:space="preserve">2.复习实验内容并了解设备 </w:t>
      </w:r>
    </w:p>
    <w:p>
      <w:pPr>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①先导化合物设计：了解脑卒中病发机理，从中找到抑制脑卒中病发的方法，并分析出可以抑制其病发的药物需要具备的性能和结构，然后根据理论分析，完成三轮结构设计，分析其药效，获得最优的药物结构式。</w:t>
      </w:r>
    </w:p>
    <w:p>
      <w:pPr>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②最优化合物的虚拟制备：根据分析结果的药物结构式，进行药物合成的虚拟仿真操作，模拟药物合成的完整过程；</w:t>
      </w:r>
    </w:p>
    <w:p>
      <w:pPr>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fldChar w:fldCharType="begin"/>
      </w:r>
      <w:r>
        <w:rPr>
          <w:rFonts w:hint="eastAsia" w:ascii="Arial" w:hAnsi="Arial" w:eastAsia="宋体" w:cs="Times New Roman"/>
          <w:bCs/>
          <w:sz w:val="28"/>
          <w:szCs w:val="28"/>
        </w:rPr>
        <w:instrText xml:space="preserve"> eq \o\ac(○,3)</w:instrText>
      </w:r>
      <w:r>
        <w:rPr>
          <w:rFonts w:hint="eastAsia" w:ascii="Arial" w:hAnsi="Arial" w:eastAsia="宋体" w:cs="Times New Roman"/>
          <w:bCs/>
          <w:sz w:val="28"/>
          <w:szCs w:val="28"/>
        </w:rPr>
        <w:fldChar w:fldCharType="end"/>
      </w:r>
      <w:r>
        <w:rPr>
          <w:rFonts w:hint="eastAsia" w:ascii="Arial" w:hAnsi="Arial" w:eastAsia="宋体" w:cs="Times New Roman"/>
          <w:bCs/>
          <w:sz w:val="28"/>
          <w:szCs w:val="28"/>
        </w:rPr>
        <w:t>药物效果验证：展示药物效果验证的操作过程，以及小白鼠给药后的药物反应。</w:t>
      </w:r>
    </w:p>
    <w:p>
      <w:pPr>
        <w:pStyle w:val="4"/>
        <w:spacing w:before="0" w:afterLines="50" w:line="360" w:lineRule="auto"/>
        <w:rPr>
          <w:rFonts w:ascii="Arial" w:hAnsi="Arial" w:eastAsia="宋体" w:cs="Times New Roman"/>
          <w:b w:val="0"/>
          <w:sz w:val="28"/>
          <w:szCs w:val="28"/>
        </w:rPr>
      </w:pPr>
      <w:bookmarkStart w:id="180" w:name="_Toc8981740"/>
      <w:r>
        <w:rPr>
          <w:rFonts w:hint="eastAsia" w:ascii="Arial" w:hAnsi="Arial" w:eastAsia="宋体" w:cs="Times New Roman"/>
          <w:b w:val="0"/>
          <w:sz w:val="28"/>
          <w:szCs w:val="28"/>
        </w:rPr>
        <w:t>七、服务要求</w:t>
      </w:r>
      <w:bookmarkEnd w:id="179"/>
      <w:bookmarkEnd w:id="180"/>
    </w:p>
    <w:p>
      <w:pPr>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1.中标单位提供软件的免费质保期为一年，质保期自验收合格之日起计算；</w:t>
      </w:r>
    </w:p>
    <w:p>
      <w:pPr>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2.质保期内免费提供系统维护等技术支持；</w:t>
      </w:r>
    </w:p>
    <w:p>
      <w:pPr>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3.提供软件终身技术支持。包括质保期后系统维护、扩充等；</w:t>
      </w:r>
    </w:p>
    <w:p>
      <w:pPr>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4.要求提供全天候无间断的远程技术服务，2小时内对问题做出响应。若电话或远程操作方式无法解决，一个法定工作日内到达现场进行解决；</w:t>
      </w:r>
    </w:p>
    <w:p>
      <w:pPr>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5.提供相关的技术文档，包括管理员及用户手册等。所提交的资料要同所提供的系统一致，并在系统升级时提供补充文档。</w:t>
      </w:r>
    </w:p>
    <w:p>
      <w:pPr>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6.免费提供系统使用和管理培训。</w:t>
      </w:r>
    </w:p>
    <w:p>
      <w:pPr>
        <w:pStyle w:val="4"/>
        <w:spacing w:before="0" w:afterLines="50" w:line="360" w:lineRule="auto"/>
        <w:rPr>
          <w:rFonts w:ascii="Arial" w:hAnsi="Arial" w:eastAsia="宋体" w:cs="Times New Roman"/>
          <w:b w:val="0"/>
          <w:sz w:val="28"/>
          <w:szCs w:val="28"/>
        </w:rPr>
      </w:pPr>
      <w:bookmarkStart w:id="181" w:name="_Toc21654"/>
      <w:bookmarkStart w:id="182" w:name="_Toc8981741"/>
      <w:r>
        <w:rPr>
          <w:rFonts w:hint="eastAsia" w:ascii="Arial" w:hAnsi="Arial" w:eastAsia="宋体" w:cs="Times New Roman"/>
          <w:b w:val="0"/>
          <w:sz w:val="28"/>
          <w:szCs w:val="28"/>
        </w:rPr>
        <w:t>八、安装要求</w:t>
      </w:r>
      <w:bookmarkEnd w:id="181"/>
      <w:bookmarkEnd w:id="182"/>
    </w:p>
    <w:p>
      <w:pPr>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按照国家现行行业规范标准进行安装，符合国家或行业质量检验评定标准。</w:t>
      </w:r>
    </w:p>
    <w:p>
      <w:pPr>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1.安装采购人招标设计要求，听从采购人工作人员安排安装</w:t>
      </w:r>
    </w:p>
    <w:p>
      <w:pPr>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2.验收标准：</w:t>
      </w:r>
    </w:p>
    <w:p>
      <w:pPr>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（1）设备初步调试要求达到文件所有指标，并连续运行数小时无故障。</w:t>
      </w:r>
    </w:p>
    <w:p>
      <w:pPr>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（2）设备初步调试合格后进入试运行，试运行期为1个月。在试运行期内如出现重大问题(瘫痪24小时以上无法恢复或整机故障率&gt; 3%)，则试运行期从故障修复之日起重新计算，一直到设备连续1个月无故障时为止。</w:t>
      </w:r>
    </w:p>
    <w:p>
      <w:pPr>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（3）试运行期通过后，可向用户提出验收申请，由用户组织有关人员进行验收。</w:t>
      </w:r>
    </w:p>
    <w:p>
      <w:pPr>
        <w:pStyle w:val="4"/>
        <w:spacing w:before="0" w:afterLines="50" w:line="360" w:lineRule="auto"/>
        <w:rPr>
          <w:rFonts w:ascii="Arial" w:hAnsi="Arial" w:eastAsia="宋体" w:cs="Times New Roman"/>
          <w:b w:val="0"/>
          <w:sz w:val="28"/>
          <w:szCs w:val="28"/>
        </w:rPr>
      </w:pPr>
      <w:bookmarkStart w:id="183" w:name="_Toc8981742"/>
      <w:r>
        <w:rPr>
          <w:rFonts w:hint="eastAsia" w:ascii="Arial" w:hAnsi="Arial" w:eastAsia="宋体" w:cs="Times New Roman"/>
          <w:b w:val="0"/>
          <w:sz w:val="28"/>
          <w:szCs w:val="28"/>
        </w:rPr>
        <w:t>九、交货期、交货方式及交货地点</w:t>
      </w:r>
      <w:bookmarkEnd w:id="183"/>
    </w:p>
    <w:p>
      <w:pPr>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1. 交货期： 合同签订生效后，一个月内全部设备、材料运抵现场，并安装、调试结束，验收合格，交付买方使用。</w:t>
      </w:r>
    </w:p>
    <w:p>
      <w:pPr>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2. 交货方式：中标人在买方指定地点交货，并完成安装、调试。</w:t>
      </w:r>
    </w:p>
    <w:p>
      <w:pPr>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3. 交货地点：买方指定地点。</w:t>
      </w:r>
    </w:p>
    <w:p>
      <w:pPr>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4. 支付方式：货到验收合格，正常运行后以15天为验收期限（根据递交验收申请时间为准），验收期满或验收合格后支付到合同 金额的90%，余10%尾款于正常使用一年后无息支付。</w:t>
      </w:r>
    </w:p>
    <w:p>
      <w:pPr>
        <w:pStyle w:val="3"/>
        <w:keepNext w:val="0"/>
        <w:keepLines/>
        <w:spacing w:line="360" w:lineRule="auto"/>
        <w:ind w:firstLine="883" w:firstLineChars="200"/>
        <w:rPr>
          <w:rFonts w:ascii="宋体" w:hAnsi="宋体" w:eastAsia="宋体"/>
          <w:b/>
          <w:bCs/>
          <w:sz w:val="44"/>
          <w:szCs w:val="44"/>
        </w:rPr>
      </w:pPr>
      <w:bookmarkStart w:id="184" w:name="_Toc401414769"/>
    </w:p>
    <w:p>
      <w:pPr>
        <w:pStyle w:val="3"/>
        <w:keepNext w:val="0"/>
        <w:keepLines/>
        <w:spacing w:line="360" w:lineRule="auto"/>
        <w:jc w:val="left"/>
        <w:rPr>
          <w:rFonts w:ascii="宋体" w:hAnsi="宋体" w:eastAsia="宋体"/>
          <w:b/>
          <w:bCs/>
          <w:sz w:val="44"/>
          <w:szCs w:val="44"/>
        </w:rPr>
      </w:pPr>
      <w:bookmarkStart w:id="185" w:name="_Toc523931348"/>
    </w:p>
    <w:p/>
    <w:p/>
    <w:p/>
    <w:p/>
    <w:p/>
    <w:p>
      <w:pPr>
        <w:pStyle w:val="2"/>
      </w:pPr>
    </w:p>
    <w:p/>
    <w:p>
      <w:pPr>
        <w:pStyle w:val="2"/>
      </w:pPr>
    </w:p>
    <w:p/>
    <w:p>
      <w:pPr>
        <w:pStyle w:val="2"/>
      </w:pPr>
    </w:p>
    <w:p/>
    <w:p>
      <w:pPr>
        <w:pStyle w:val="2"/>
      </w:pPr>
    </w:p>
    <w:p/>
    <w:p>
      <w:pPr>
        <w:pStyle w:val="3"/>
        <w:keepNext w:val="0"/>
        <w:keepLines/>
        <w:spacing w:line="360" w:lineRule="auto"/>
        <w:jc w:val="both"/>
        <w:rPr>
          <w:rFonts w:ascii="宋体" w:hAnsi="宋体" w:eastAsia="宋体"/>
          <w:b/>
          <w:bCs/>
          <w:sz w:val="44"/>
          <w:szCs w:val="44"/>
        </w:rPr>
      </w:pPr>
    </w:p>
    <w:p>
      <w:pPr>
        <w:pStyle w:val="3"/>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85"/>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7"/>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18"/>
        <w:tblW w:w="86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
        <w:gridCol w:w="1405"/>
        <w:gridCol w:w="5526"/>
        <w:gridCol w:w="7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7" w:hRule="atLeast"/>
          <w:jc w:val="center"/>
        </w:trPr>
        <w:tc>
          <w:tcPr>
            <w:tcW w:w="952" w:type="dxa"/>
            <w:vAlign w:val="center"/>
          </w:tcPr>
          <w:p>
            <w:pPr>
              <w:spacing w:line="360" w:lineRule="auto"/>
              <w:jc w:val="center"/>
              <w:rPr>
                <w:rFonts w:asciiTheme="minorEastAsia" w:hAnsiTheme="minorEastAsia" w:eastAsiaTheme="minorEastAsia"/>
                <w:bCs/>
              </w:rPr>
            </w:pPr>
            <w:r>
              <w:rPr>
                <w:rFonts w:hint="eastAsia" w:asciiTheme="minorEastAsia" w:hAnsiTheme="minorEastAsia" w:eastAsiaTheme="minorEastAsia"/>
                <w:bCs/>
              </w:rPr>
              <w:t>序号</w:t>
            </w:r>
          </w:p>
        </w:tc>
        <w:tc>
          <w:tcPr>
            <w:tcW w:w="1405" w:type="dxa"/>
            <w:vAlign w:val="center"/>
          </w:tcPr>
          <w:p>
            <w:pPr>
              <w:spacing w:line="360" w:lineRule="auto"/>
              <w:jc w:val="center"/>
              <w:rPr>
                <w:rFonts w:asciiTheme="minorEastAsia" w:hAnsiTheme="minorEastAsia" w:eastAsiaTheme="minorEastAsia"/>
                <w:bCs/>
              </w:rPr>
            </w:pPr>
            <w:r>
              <w:rPr>
                <w:rFonts w:hint="eastAsia" w:asciiTheme="minorEastAsia" w:hAnsiTheme="minorEastAsia" w:eastAsiaTheme="minorEastAsia"/>
                <w:bCs/>
              </w:rPr>
              <w:t>评分项目</w:t>
            </w:r>
          </w:p>
        </w:tc>
        <w:tc>
          <w:tcPr>
            <w:tcW w:w="5526" w:type="dxa"/>
            <w:vAlign w:val="center"/>
          </w:tcPr>
          <w:p>
            <w:pPr>
              <w:spacing w:line="360" w:lineRule="auto"/>
              <w:ind w:firstLine="440" w:firstLineChars="200"/>
              <w:jc w:val="center"/>
              <w:rPr>
                <w:rFonts w:asciiTheme="minorEastAsia" w:hAnsiTheme="minorEastAsia" w:eastAsiaTheme="minorEastAsia"/>
                <w:bCs/>
              </w:rPr>
            </w:pPr>
            <w:r>
              <w:rPr>
                <w:rFonts w:hint="eastAsia" w:asciiTheme="minorEastAsia" w:hAnsiTheme="minorEastAsia" w:eastAsiaTheme="minorEastAsia"/>
                <w:bCs/>
              </w:rPr>
              <w:t>评分标准</w:t>
            </w:r>
          </w:p>
        </w:tc>
        <w:tc>
          <w:tcPr>
            <w:tcW w:w="764" w:type="dxa"/>
            <w:vAlign w:val="center"/>
          </w:tcPr>
          <w:p>
            <w:pPr>
              <w:spacing w:line="360" w:lineRule="auto"/>
              <w:jc w:val="center"/>
              <w:rPr>
                <w:rFonts w:asciiTheme="minorEastAsia" w:hAnsiTheme="minorEastAsia" w:eastAsiaTheme="minorEastAsia"/>
                <w:bCs/>
              </w:rPr>
            </w:pPr>
            <w:r>
              <w:rPr>
                <w:rFonts w:hint="eastAsia" w:asciiTheme="minorEastAsia" w:hAnsiTheme="minorEastAsia" w:eastAsiaTheme="minorEastAsia"/>
                <w:bCs/>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56" w:hRule="atLeast"/>
          <w:jc w:val="center"/>
        </w:trPr>
        <w:tc>
          <w:tcPr>
            <w:tcW w:w="952" w:type="dxa"/>
            <w:vAlign w:val="center"/>
          </w:tcPr>
          <w:p>
            <w:pPr>
              <w:spacing w:line="360" w:lineRule="auto"/>
              <w:ind w:firstLine="440" w:firstLineChars="200"/>
              <w:rPr>
                <w:rFonts w:asciiTheme="minorEastAsia" w:hAnsiTheme="minorEastAsia" w:eastAsiaTheme="minorEastAsia"/>
                <w:bCs/>
              </w:rPr>
            </w:pPr>
            <w:r>
              <w:rPr>
                <w:rFonts w:hint="eastAsia" w:asciiTheme="minorEastAsia" w:hAnsiTheme="minorEastAsia" w:eastAsiaTheme="minorEastAsia"/>
                <w:bCs/>
              </w:rPr>
              <w:t>1</w:t>
            </w:r>
          </w:p>
        </w:tc>
        <w:tc>
          <w:tcPr>
            <w:tcW w:w="1405" w:type="dxa"/>
            <w:vAlign w:val="center"/>
          </w:tcPr>
          <w:p>
            <w:pPr>
              <w:spacing w:line="360" w:lineRule="auto"/>
              <w:ind w:firstLine="440" w:firstLineChars="200"/>
              <w:jc w:val="center"/>
              <w:rPr>
                <w:rFonts w:asciiTheme="minorEastAsia" w:hAnsiTheme="minorEastAsia" w:eastAsiaTheme="minorEastAsia"/>
                <w:bCs/>
              </w:rPr>
            </w:pPr>
          </w:p>
          <w:p>
            <w:pPr>
              <w:spacing w:line="360" w:lineRule="auto"/>
              <w:ind w:firstLine="220" w:firstLineChars="100"/>
              <w:jc w:val="center"/>
              <w:rPr>
                <w:rFonts w:asciiTheme="minorEastAsia" w:hAnsiTheme="minorEastAsia" w:eastAsiaTheme="minorEastAsia"/>
                <w:bCs/>
              </w:rPr>
            </w:pPr>
            <w:r>
              <w:rPr>
                <w:rFonts w:hint="eastAsia" w:asciiTheme="minorEastAsia" w:hAnsiTheme="minorEastAsia" w:eastAsiaTheme="minorEastAsia"/>
                <w:bCs/>
              </w:rPr>
              <w:t>价格</w:t>
            </w:r>
          </w:p>
          <w:p>
            <w:pPr>
              <w:spacing w:line="360" w:lineRule="auto"/>
              <w:jc w:val="center"/>
              <w:rPr>
                <w:rFonts w:asciiTheme="minorEastAsia" w:hAnsiTheme="minorEastAsia" w:eastAsiaTheme="minorEastAsia"/>
                <w:bCs/>
              </w:rPr>
            </w:pPr>
            <w:r>
              <w:rPr>
                <w:rFonts w:hint="eastAsia" w:asciiTheme="minorEastAsia" w:hAnsiTheme="minorEastAsia" w:eastAsiaTheme="minorEastAsia"/>
                <w:bCs/>
              </w:rPr>
              <w:t>（2</w:t>
            </w:r>
            <w:r>
              <w:rPr>
                <w:rFonts w:asciiTheme="minorEastAsia" w:hAnsiTheme="minorEastAsia" w:eastAsiaTheme="minorEastAsia"/>
                <w:bCs/>
              </w:rPr>
              <w:t>0</w:t>
            </w:r>
            <w:r>
              <w:rPr>
                <w:rFonts w:hint="eastAsia" w:asciiTheme="minorEastAsia" w:hAnsiTheme="minorEastAsia" w:eastAsiaTheme="minorEastAsia"/>
                <w:bCs/>
              </w:rPr>
              <w:t>分）</w:t>
            </w:r>
          </w:p>
          <w:p>
            <w:pPr>
              <w:spacing w:line="360" w:lineRule="auto"/>
              <w:ind w:firstLine="440" w:firstLineChars="200"/>
              <w:jc w:val="center"/>
              <w:rPr>
                <w:rFonts w:asciiTheme="minorEastAsia" w:hAnsiTheme="minorEastAsia" w:eastAsiaTheme="minorEastAsia"/>
                <w:bCs/>
              </w:rPr>
            </w:pPr>
          </w:p>
        </w:tc>
        <w:tc>
          <w:tcPr>
            <w:tcW w:w="5526" w:type="dxa"/>
            <w:vAlign w:val="center"/>
          </w:tcPr>
          <w:p>
            <w:pPr>
              <w:spacing w:line="360" w:lineRule="auto"/>
              <w:ind w:firstLine="440" w:firstLineChars="200"/>
              <w:rPr>
                <w:rFonts w:asciiTheme="minorEastAsia" w:hAnsiTheme="minorEastAsia" w:eastAsiaTheme="minorEastAsia"/>
                <w:bCs/>
              </w:rPr>
            </w:pPr>
            <w:r>
              <w:rPr>
                <w:rFonts w:hint="eastAsia" w:asciiTheme="minorEastAsia" w:hAnsiTheme="minorEastAsia" w:eastAsiaTheme="minorEastAsia"/>
                <w:bCs/>
              </w:rPr>
              <w:t>价格分采用低价优先法计算，满足招标文件要求，进入详细评审的各投标人报价的最低值为评标基准价A值，A值为价格分的满分，即20分。其他投标人的价格分统一按照以下公式计算：投标人评标价得分=（A／该投标人评标价）×20。</w:t>
            </w:r>
          </w:p>
        </w:tc>
        <w:tc>
          <w:tcPr>
            <w:tcW w:w="764" w:type="dxa"/>
            <w:vAlign w:val="center"/>
          </w:tcPr>
          <w:p>
            <w:pPr>
              <w:spacing w:line="360" w:lineRule="auto"/>
              <w:jc w:val="center"/>
              <w:rPr>
                <w:rFonts w:asciiTheme="minorEastAsia" w:hAnsiTheme="minorEastAsia" w:eastAsiaTheme="minorEastAsia"/>
                <w:bCs/>
              </w:rPr>
            </w:pPr>
            <w:r>
              <w:rPr>
                <w:rFonts w:hint="eastAsia" w:asciiTheme="minorEastAsia" w:hAnsiTheme="minorEastAsia" w:eastAsiaTheme="minorEastAsia"/>
                <w:bCs/>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74" w:hRule="atLeast"/>
          <w:jc w:val="center"/>
        </w:trPr>
        <w:tc>
          <w:tcPr>
            <w:tcW w:w="952" w:type="dxa"/>
            <w:vAlign w:val="center"/>
          </w:tcPr>
          <w:p>
            <w:pPr>
              <w:spacing w:line="360" w:lineRule="auto"/>
              <w:ind w:firstLine="440" w:firstLineChars="200"/>
              <w:rPr>
                <w:rFonts w:asciiTheme="minorEastAsia" w:hAnsiTheme="minorEastAsia" w:eastAsiaTheme="minorEastAsia"/>
                <w:bCs/>
              </w:rPr>
            </w:pPr>
            <w:r>
              <w:rPr>
                <w:rFonts w:hint="eastAsia" w:asciiTheme="minorEastAsia" w:hAnsiTheme="minorEastAsia" w:eastAsiaTheme="minorEastAsia"/>
                <w:bCs/>
              </w:rPr>
              <w:t>2</w:t>
            </w:r>
          </w:p>
        </w:tc>
        <w:tc>
          <w:tcPr>
            <w:tcW w:w="1405" w:type="dxa"/>
            <w:vAlign w:val="center"/>
          </w:tcPr>
          <w:p>
            <w:pPr>
              <w:spacing w:line="360" w:lineRule="auto"/>
              <w:ind w:firstLine="440" w:firstLineChars="200"/>
              <w:jc w:val="center"/>
              <w:rPr>
                <w:rFonts w:asciiTheme="minorEastAsia" w:hAnsiTheme="minorEastAsia" w:eastAsiaTheme="minorEastAsia"/>
                <w:bCs/>
              </w:rPr>
            </w:pPr>
          </w:p>
          <w:p>
            <w:pPr>
              <w:spacing w:line="360" w:lineRule="auto"/>
              <w:jc w:val="center"/>
              <w:rPr>
                <w:rFonts w:asciiTheme="minorEastAsia" w:hAnsiTheme="minorEastAsia" w:eastAsiaTheme="minorEastAsia"/>
                <w:bCs/>
              </w:rPr>
            </w:pPr>
            <w:r>
              <w:rPr>
                <w:rFonts w:hint="eastAsia" w:asciiTheme="minorEastAsia" w:hAnsiTheme="minorEastAsia" w:eastAsiaTheme="minorEastAsia"/>
                <w:bCs/>
              </w:rPr>
              <w:t>技术响应</w:t>
            </w:r>
          </w:p>
          <w:p>
            <w:pPr>
              <w:spacing w:line="360" w:lineRule="auto"/>
              <w:jc w:val="center"/>
              <w:rPr>
                <w:rFonts w:asciiTheme="minorEastAsia" w:hAnsiTheme="minorEastAsia" w:eastAsiaTheme="minorEastAsia"/>
                <w:bCs/>
              </w:rPr>
            </w:pPr>
            <w:r>
              <w:rPr>
                <w:rFonts w:hint="eastAsia" w:asciiTheme="minorEastAsia" w:hAnsiTheme="minorEastAsia" w:eastAsiaTheme="minorEastAsia"/>
                <w:bCs/>
              </w:rPr>
              <w:t>情况</w:t>
            </w:r>
          </w:p>
          <w:p>
            <w:pPr>
              <w:spacing w:line="360" w:lineRule="auto"/>
              <w:jc w:val="center"/>
              <w:rPr>
                <w:rFonts w:asciiTheme="minorEastAsia" w:hAnsiTheme="minorEastAsia" w:eastAsiaTheme="minorEastAsia"/>
                <w:bCs/>
              </w:rPr>
            </w:pPr>
            <w:r>
              <w:rPr>
                <w:rFonts w:hint="eastAsia" w:asciiTheme="minorEastAsia" w:hAnsiTheme="minorEastAsia" w:eastAsiaTheme="minorEastAsia"/>
                <w:bCs/>
              </w:rPr>
              <w:t>（2</w:t>
            </w:r>
            <w:r>
              <w:rPr>
                <w:rFonts w:asciiTheme="minorEastAsia" w:hAnsiTheme="minorEastAsia" w:eastAsiaTheme="minorEastAsia"/>
                <w:bCs/>
              </w:rPr>
              <w:t>0</w:t>
            </w:r>
            <w:r>
              <w:rPr>
                <w:rFonts w:hint="eastAsia" w:asciiTheme="minorEastAsia" w:hAnsiTheme="minorEastAsia" w:eastAsiaTheme="minorEastAsia"/>
                <w:bCs/>
              </w:rPr>
              <w:t>分）</w:t>
            </w:r>
          </w:p>
          <w:p>
            <w:pPr>
              <w:spacing w:line="360" w:lineRule="auto"/>
              <w:ind w:firstLine="440" w:firstLineChars="200"/>
              <w:jc w:val="center"/>
              <w:rPr>
                <w:rFonts w:asciiTheme="minorEastAsia" w:hAnsiTheme="minorEastAsia" w:eastAsiaTheme="minorEastAsia"/>
                <w:bCs/>
              </w:rPr>
            </w:pPr>
          </w:p>
        </w:tc>
        <w:tc>
          <w:tcPr>
            <w:tcW w:w="5526" w:type="dxa"/>
            <w:vAlign w:val="center"/>
          </w:tcPr>
          <w:p>
            <w:pPr>
              <w:spacing w:line="360" w:lineRule="auto"/>
              <w:ind w:firstLine="440" w:firstLineChars="200"/>
              <w:rPr>
                <w:rFonts w:asciiTheme="minorEastAsia" w:hAnsiTheme="minorEastAsia" w:eastAsiaTheme="minorEastAsia"/>
                <w:bCs/>
              </w:rPr>
            </w:pPr>
            <w:r>
              <w:rPr>
                <w:rFonts w:hint="eastAsia" w:asciiTheme="minorEastAsia" w:hAnsiTheme="minorEastAsia" w:eastAsiaTheme="minorEastAsia"/>
                <w:bCs/>
              </w:rPr>
              <w:t>投标产品对招标文件具体需求的响应程度能够满足招标文件开发服务要求的得16分，若开发服务要求中有负偏离，每有一项负偏离扣2分，直至扣完为止。</w:t>
            </w:r>
          </w:p>
          <w:p>
            <w:pPr>
              <w:spacing w:line="360" w:lineRule="auto"/>
              <w:ind w:firstLine="440" w:firstLineChars="200"/>
              <w:rPr>
                <w:rFonts w:asciiTheme="minorEastAsia" w:hAnsiTheme="minorEastAsia" w:eastAsiaTheme="minorEastAsia"/>
                <w:bCs/>
              </w:rPr>
            </w:pPr>
            <w:r>
              <w:rPr>
                <w:rFonts w:hint="eastAsia" w:asciiTheme="minorEastAsia" w:hAnsiTheme="minorEastAsia" w:eastAsiaTheme="minorEastAsia"/>
                <w:bCs/>
              </w:rPr>
              <w:t>2、每有一项优于招标文件，经评审委员会一致认可的加1分，最多加4分。</w:t>
            </w:r>
          </w:p>
        </w:tc>
        <w:tc>
          <w:tcPr>
            <w:tcW w:w="764" w:type="dxa"/>
            <w:vAlign w:val="center"/>
          </w:tcPr>
          <w:p>
            <w:pPr>
              <w:spacing w:line="360" w:lineRule="auto"/>
              <w:jc w:val="center"/>
              <w:rPr>
                <w:rFonts w:asciiTheme="minorEastAsia" w:hAnsiTheme="minorEastAsia" w:eastAsiaTheme="minorEastAsia"/>
                <w:bCs/>
              </w:rPr>
            </w:pPr>
            <w:r>
              <w:rPr>
                <w:rFonts w:hint="eastAsia" w:asciiTheme="minorEastAsia" w:hAnsiTheme="minorEastAsia" w:eastAsiaTheme="minorEastAsia"/>
                <w:bCs/>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9" w:hRule="atLeast"/>
          <w:jc w:val="center"/>
        </w:trPr>
        <w:tc>
          <w:tcPr>
            <w:tcW w:w="952" w:type="dxa"/>
            <w:vMerge w:val="restart"/>
            <w:vAlign w:val="center"/>
          </w:tcPr>
          <w:p>
            <w:pPr>
              <w:spacing w:line="360" w:lineRule="auto"/>
              <w:ind w:firstLine="440" w:firstLineChars="200"/>
              <w:rPr>
                <w:rFonts w:asciiTheme="minorEastAsia" w:hAnsiTheme="minorEastAsia" w:eastAsiaTheme="minorEastAsia"/>
                <w:bCs/>
              </w:rPr>
            </w:pPr>
            <w:r>
              <w:rPr>
                <w:rFonts w:hint="eastAsia" w:asciiTheme="minorEastAsia" w:hAnsiTheme="minorEastAsia" w:eastAsiaTheme="minorEastAsia"/>
                <w:bCs/>
              </w:rPr>
              <w:t>3</w:t>
            </w:r>
          </w:p>
        </w:tc>
        <w:tc>
          <w:tcPr>
            <w:tcW w:w="1405" w:type="dxa"/>
            <w:vMerge w:val="restart"/>
            <w:vAlign w:val="center"/>
          </w:tcPr>
          <w:p>
            <w:pPr>
              <w:spacing w:line="360" w:lineRule="auto"/>
              <w:jc w:val="center"/>
              <w:rPr>
                <w:rFonts w:asciiTheme="minorEastAsia" w:hAnsiTheme="minorEastAsia" w:eastAsiaTheme="minorEastAsia"/>
                <w:bCs/>
              </w:rPr>
            </w:pPr>
            <w:r>
              <w:rPr>
                <w:rFonts w:hint="eastAsia" w:asciiTheme="minorEastAsia" w:hAnsiTheme="minorEastAsia" w:eastAsiaTheme="minorEastAsia"/>
                <w:bCs/>
              </w:rPr>
              <w:t>技术方案与</w:t>
            </w:r>
          </w:p>
          <w:p>
            <w:pPr>
              <w:spacing w:line="360" w:lineRule="auto"/>
              <w:jc w:val="center"/>
              <w:rPr>
                <w:rFonts w:asciiTheme="minorEastAsia" w:hAnsiTheme="minorEastAsia" w:eastAsiaTheme="minorEastAsia"/>
                <w:bCs/>
              </w:rPr>
            </w:pPr>
            <w:r>
              <w:rPr>
                <w:rFonts w:hint="eastAsia" w:asciiTheme="minorEastAsia" w:hAnsiTheme="minorEastAsia" w:eastAsiaTheme="minorEastAsia"/>
                <w:bCs/>
              </w:rPr>
              <w:t>技术能力</w:t>
            </w:r>
          </w:p>
          <w:p>
            <w:pPr>
              <w:spacing w:line="360" w:lineRule="auto"/>
              <w:jc w:val="center"/>
              <w:rPr>
                <w:rFonts w:asciiTheme="minorEastAsia" w:hAnsiTheme="minorEastAsia" w:eastAsiaTheme="minorEastAsia"/>
                <w:bCs/>
              </w:rPr>
            </w:pPr>
            <w:r>
              <w:rPr>
                <w:rFonts w:hint="eastAsia" w:asciiTheme="minorEastAsia" w:hAnsiTheme="minorEastAsia" w:eastAsiaTheme="minorEastAsia"/>
                <w:bCs/>
              </w:rPr>
              <w:t>（</w:t>
            </w:r>
            <w:r>
              <w:rPr>
                <w:rFonts w:asciiTheme="minorEastAsia" w:hAnsiTheme="minorEastAsia" w:eastAsiaTheme="minorEastAsia"/>
                <w:bCs/>
              </w:rPr>
              <w:t>14</w:t>
            </w:r>
            <w:r>
              <w:rPr>
                <w:rFonts w:hint="eastAsia" w:asciiTheme="minorEastAsia" w:hAnsiTheme="minorEastAsia" w:eastAsiaTheme="minorEastAsia"/>
                <w:bCs/>
              </w:rPr>
              <w:t>分）</w:t>
            </w:r>
          </w:p>
          <w:p>
            <w:pPr>
              <w:spacing w:line="360" w:lineRule="auto"/>
              <w:ind w:firstLine="440" w:firstLineChars="200"/>
              <w:jc w:val="center"/>
              <w:rPr>
                <w:rFonts w:asciiTheme="minorEastAsia" w:hAnsiTheme="minorEastAsia" w:eastAsiaTheme="minorEastAsia"/>
                <w:bCs/>
              </w:rPr>
            </w:pPr>
          </w:p>
        </w:tc>
        <w:tc>
          <w:tcPr>
            <w:tcW w:w="5526" w:type="dxa"/>
            <w:vAlign w:val="center"/>
          </w:tcPr>
          <w:p>
            <w:pPr>
              <w:spacing w:line="360" w:lineRule="auto"/>
              <w:ind w:firstLine="440" w:firstLineChars="200"/>
              <w:rPr>
                <w:rFonts w:asciiTheme="minorEastAsia" w:hAnsiTheme="minorEastAsia" w:eastAsiaTheme="minorEastAsia"/>
                <w:bCs/>
                <w:lang w:val="en-GB"/>
              </w:rPr>
            </w:pPr>
            <w:r>
              <w:rPr>
                <w:rFonts w:hint="eastAsia" w:asciiTheme="minorEastAsia" w:hAnsiTheme="minorEastAsia" w:eastAsiaTheme="minorEastAsia"/>
                <w:bCs/>
              </w:rPr>
              <w:t>投标人提供的方案与需求的吻合程度，包括方案的科学性、先进性、成熟性；方案是否科学合理、安全严密、具有一定的前瞻性。最优：4-5分，一般：2-3分，差：0-1分；</w:t>
            </w:r>
          </w:p>
        </w:tc>
        <w:tc>
          <w:tcPr>
            <w:tcW w:w="764" w:type="dxa"/>
            <w:vAlign w:val="center"/>
          </w:tcPr>
          <w:p>
            <w:pPr>
              <w:spacing w:line="360" w:lineRule="auto"/>
              <w:ind w:firstLine="220" w:firstLineChars="100"/>
              <w:jc w:val="both"/>
              <w:rPr>
                <w:rFonts w:asciiTheme="minorEastAsia" w:hAnsiTheme="minorEastAsia" w:eastAsiaTheme="minorEastAsia"/>
                <w:bCs/>
              </w:rPr>
            </w:pPr>
            <w:r>
              <w:rPr>
                <w:rFonts w:hint="eastAsia" w:asciiTheme="minorEastAsia" w:hAnsiTheme="minorEastAsia" w:eastAsiaTheme="minorEastAsia"/>
                <w:bCs/>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1" w:hRule="atLeast"/>
          <w:jc w:val="center"/>
        </w:trPr>
        <w:tc>
          <w:tcPr>
            <w:tcW w:w="952" w:type="dxa"/>
            <w:vMerge w:val="continue"/>
            <w:vAlign w:val="center"/>
          </w:tcPr>
          <w:p>
            <w:pPr>
              <w:spacing w:line="360" w:lineRule="auto"/>
              <w:ind w:firstLine="440" w:firstLineChars="200"/>
              <w:rPr>
                <w:rFonts w:asciiTheme="minorEastAsia" w:hAnsiTheme="minorEastAsia" w:eastAsiaTheme="minorEastAsia"/>
                <w:bCs/>
              </w:rPr>
            </w:pPr>
          </w:p>
        </w:tc>
        <w:tc>
          <w:tcPr>
            <w:tcW w:w="1405" w:type="dxa"/>
            <w:vMerge w:val="continue"/>
            <w:vAlign w:val="center"/>
          </w:tcPr>
          <w:p>
            <w:pPr>
              <w:spacing w:line="360" w:lineRule="auto"/>
              <w:ind w:firstLine="440" w:firstLineChars="200"/>
              <w:jc w:val="center"/>
              <w:rPr>
                <w:rFonts w:asciiTheme="minorEastAsia" w:hAnsiTheme="minorEastAsia" w:eastAsiaTheme="minorEastAsia"/>
                <w:bCs/>
              </w:rPr>
            </w:pPr>
          </w:p>
        </w:tc>
        <w:tc>
          <w:tcPr>
            <w:tcW w:w="5526" w:type="dxa"/>
            <w:vAlign w:val="center"/>
          </w:tcPr>
          <w:p>
            <w:pPr>
              <w:spacing w:line="360" w:lineRule="auto"/>
              <w:ind w:firstLine="440" w:firstLineChars="200"/>
              <w:rPr>
                <w:rFonts w:asciiTheme="minorEastAsia" w:hAnsiTheme="minorEastAsia" w:eastAsiaTheme="minorEastAsia"/>
                <w:bCs/>
              </w:rPr>
            </w:pPr>
            <w:r>
              <w:rPr>
                <w:rFonts w:hint="eastAsia" w:asciiTheme="minorEastAsia" w:hAnsiTheme="minorEastAsia" w:eastAsiaTheme="minorEastAsia"/>
                <w:bCs/>
              </w:rPr>
              <w:t>投标人提供的方案整体技术架构设计、业务架构设计、功能模块设计等方面的可行性、可操作性、可扩展性、可适应性能力进行评分。最优：4-5分，一般：2-3分，差：0-1分；</w:t>
            </w:r>
          </w:p>
        </w:tc>
        <w:tc>
          <w:tcPr>
            <w:tcW w:w="764" w:type="dxa"/>
            <w:vAlign w:val="center"/>
          </w:tcPr>
          <w:p>
            <w:pPr>
              <w:spacing w:line="360" w:lineRule="auto"/>
              <w:ind w:firstLine="220" w:firstLineChars="100"/>
              <w:jc w:val="both"/>
              <w:rPr>
                <w:rFonts w:asciiTheme="minorEastAsia" w:hAnsiTheme="minorEastAsia" w:eastAsiaTheme="minorEastAsia"/>
                <w:bCs/>
              </w:rPr>
            </w:pPr>
            <w:r>
              <w:rPr>
                <w:rFonts w:hint="eastAsia" w:asciiTheme="minorEastAsia" w:hAnsiTheme="minorEastAsia" w:eastAsiaTheme="minorEastAsia"/>
                <w:bCs/>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0" w:hRule="atLeast"/>
          <w:jc w:val="center"/>
        </w:trPr>
        <w:tc>
          <w:tcPr>
            <w:tcW w:w="952" w:type="dxa"/>
            <w:vMerge w:val="continue"/>
            <w:vAlign w:val="center"/>
          </w:tcPr>
          <w:p>
            <w:pPr>
              <w:spacing w:line="360" w:lineRule="auto"/>
              <w:ind w:firstLine="440" w:firstLineChars="200"/>
              <w:rPr>
                <w:rFonts w:asciiTheme="minorEastAsia" w:hAnsiTheme="minorEastAsia" w:eastAsiaTheme="minorEastAsia"/>
                <w:bCs/>
              </w:rPr>
            </w:pPr>
          </w:p>
        </w:tc>
        <w:tc>
          <w:tcPr>
            <w:tcW w:w="1405" w:type="dxa"/>
            <w:vMerge w:val="continue"/>
            <w:vAlign w:val="center"/>
          </w:tcPr>
          <w:p>
            <w:pPr>
              <w:spacing w:line="360" w:lineRule="auto"/>
              <w:ind w:firstLine="440" w:firstLineChars="200"/>
              <w:jc w:val="center"/>
              <w:rPr>
                <w:rFonts w:asciiTheme="minorEastAsia" w:hAnsiTheme="minorEastAsia" w:eastAsiaTheme="minorEastAsia"/>
                <w:bCs/>
              </w:rPr>
            </w:pPr>
          </w:p>
        </w:tc>
        <w:tc>
          <w:tcPr>
            <w:tcW w:w="5526" w:type="dxa"/>
            <w:vAlign w:val="center"/>
          </w:tcPr>
          <w:p>
            <w:pPr>
              <w:spacing w:line="360" w:lineRule="auto"/>
              <w:ind w:firstLine="440" w:firstLineChars="200"/>
              <w:rPr>
                <w:rFonts w:asciiTheme="minorEastAsia" w:hAnsiTheme="minorEastAsia" w:eastAsiaTheme="minorEastAsia"/>
                <w:bCs/>
              </w:rPr>
            </w:pPr>
            <w:r>
              <w:rPr>
                <w:rFonts w:hint="eastAsia" w:asciiTheme="minorEastAsia" w:hAnsiTheme="minorEastAsia" w:eastAsiaTheme="minorEastAsia"/>
                <w:bCs/>
              </w:rPr>
              <w:t>1、投标人提供药物分析、药物化学分析、分析化学相关虚拟仿真实验的计算机软件著作权登记证书的得2分；</w:t>
            </w:r>
          </w:p>
          <w:p>
            <w:pPr>
              <w:spacing w:line="360" w:lineRule="auto"/>
              <w:ind w:firstLine="440" w:firstLineChars="200"/>
              <w:rPr>
                <w:rFonts w:asciiTheme="minorEastAsia" w:hAnsiTheme="minorEastAsia" w:eastAsiaTheme="minorEastAsia"/>
                <w:bCs/>
              </w:rPr>
            </w:pPr>
            <w:r>
              <w:rPr>
                <w:rFonts w:hint="eastAsia" w:asciiTheme="minorEastAsia" w:hAnsiTheme="minorEastAsia" w:eastAsiaTheme="minorEastAsia"/>
                <w:bCs/>
              </w:rPr>
              <w:t>2、投标人提供实验室大型仪器分析虚拟仿真实验的计算机软件著作权登记证书的得2分；</w:t>
            </w:r>
          </w:p>
        </w:tc>
        <w:tc>
          <w:tcPr>
            <w:tcW w:w="764" w:type="dxa"/>
            <w:vAlign w:val="center"/>
          </w:tcPr>
          <w:p>
            <w:pPr>
              <w:spacing w:line="360" w:lineRule="auto"/>
              <w:ind w:firstLine="220" w:firstLineChars="100"/>
              <w:jc w:val="both"/>
              <w:rPr>
                <w:rFonts w:asciiTheme="minorEastAsia" w:hAnsiTheme="minorEastAsia" w:eastAsiaTheme="minorEastAsia"/>
                <w:bCs/>
              </w:rPr>
            </w:pPr>
            <w:r>
              <w:rPr>
                <w:rFonts w:hint="eastAsia" w:asciiTheme="minorEastAsia" w:hAnsiTheme="minorEastAsia" w:eastAsiaTheme="minorEastAsia"/>
                <w:bCs/>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952" w:type="dxa"/>
            <w:vMerge w:val="restart"/>
            <w:vAlign w:val="center"/>
          </w:tcPr>
          <w:p>
            <w:pPr>
              <w:spacing w:line="360" w:lineRule="auto"/>
              <w:ind w:firstLine="440" w:firstLineChars="200"/>
              <w:rPr>
                <w:rFonts w:asciiTheme="minorEastAsia" w:hAnsiTheme="minorEastAsia" w:eastAsiaTheme="minorEastAsia"/>
                <w:bCs/>
              </w:rPr>
            </w:pPr>
            <w:r>
              <w:rPr>
                <w:rFonts w:hint="eastAsia" w:asciiTheme="minorEastAsia" w:hAnsiTheme="minorEastAsia" w:eastAsiaTheme="minorEastAsia"/>
                <w:bCs/>
              </w:rPr>
              <w:t>4</w:t>
            </w:r>
          </w:p>
        </w:tc>
        <w:tc>
          <w:tcPr>
            <w:tcW w:w="1405" w:type="dxa"/>
            <w:vMerge w:val="restart"/>
            <w:vAlign w:val="center"/>
          </w:tcPr>
          <w:p>
            <w:pPr>
              <w:spacing w:line="360" w:lineRule="auto"/>
              <w:jc w:val="center"/>
              <w:rPr>
                <w:rFonts w:asciiTheme="minorEastAsia" w:hAnsiTheme="minorEastAsia" w:eastAsiaTheme="minorEastAsia"/>
                <w:bCs/>
              </w:rPr>
            </w:pPr>
            <w:r>
              <w:rPr>
                <w:rFonts w:hint="eastAsia" w:asciiTheme="minorEastAsia" w:hAnsiTheme="minorEastAsia" w:eastAsiaTheme="minorEastAsia"/>
                <w:bCs/>
              </w:rPr>
              <w:t>项目实施与服务</w:t>
            </w:r>
          </w:p>
          <w:p>
            <w:pPr>
              <w:spacing w:line="360" w:lineRule="auto"/>
              <w:jc w:val="center"/>
              <w:rPr>
                <w:rFonts w:asciiTheme="minorEastAsia" w:hAnsiTheme="minorEastAsia" w:eastAsiaTheme="minorEastAsia"/>
                <w:bCs/>
              </w:rPr>
            </w:pPr>
            <w:r>
              <w:rPr>
                <w:rFonts w:hint="eastAsia" w:asciiTheme="minorEastAsia" w:hAnsiTheme="minorEastAsia" w:eastAsiaTheme="minorEastAsia"/>
                <w:bCs/>
              </w:rPr>
              <w:t>（</w:t>
            </w:r>
            <w:r>
              <w:rPr>
                <w:rFonts w:asciiTheme="minorEastAsia" w:hAnsiTheme="minorEastAsia" w:eastAsiaTheme="minorEastAsia"/>
                <w:bCs/>
              </w:rPr>
              <w:t>14</w:t>
            </w:r>
            <w:r>
              <w:rPr>
                <w:rFonts w:hint="eastAsia" w:asciiTheme="minorEastAsia" w:hAnsiTheme="minorEastAsia" w:eastAsiaTheme="minorEastAsia"/>
                <w:bCs/>
              </w:rPr>
              <w:t>分）</w:t>
            </w:r>
          </w:p>
        </w:tc>
        <w:tc>
          <w:tcPr>
            <w:tcW w:w="5526" w:type="dxa"/>
            <w:vAlign w:val="center"/>
          </w:tcPr>
          <w:p>
            <w:pPr>
              <w:spacing w:line="360" w:lineRule="auto"/>
              <w:ind w:firstLine="440" w:firstLineChars="200"/>
              <w:rPr>
                <w:rFonts w:asciiTheme="minorEastAsia" w:hAnsiTheme="minorEastAsia" w:eastAsiaTheme="minorEastAsia"/>
                <w:bCs/>
              </w:rPr>
            </w:pPr>
            <w:r>
              <w:rPr>
                <w:rFonts w:asciiTheme="minorEastAsia" w:hAnsiTheme="minorEastAsia" w:eastAsiaTheme="minorEastAsia"/>
                <w:bCs/>
              </w:rPr>
              <w:t>根据投标人的</w:t>
            </w:r>
            <w:r>
              <w:rPr>
                <w:rFonts w:hint="eastAsia" w:asciiTheme="minorEastAsia" w:hAnsiTheme="minorEastAsia" w:eastAsiaTheme="minorEastAsia"/>
                <w:bCs/>
              </w:rPr>
              <w:t>组织计划、保证项目质量措施、项目实施进度计划和工期安排、管理力量、技术人员配备情况以及平台运维能力等进行综合评审，优得4-5分，良得2-3分，一般得0-1分。</w:t>
            </w:r>
          </w:p>
        </w:tc>
        <w:tc>
          <w:tcPr>
            <w:tcW w:w="764" w:type="dxa"/>
            <w:vAlign w:val="center"/>
          </w:tcPr>
          <w:p>
            <w:pPr>
              <w:spacing w:line="360" w:lineRule="auto"/>
              <w:ind w:firstLine="220" w:firstLineChars="100"/>
              <w:jc w:val="both"/>
              <w:rPr>
                <w:rFonts w:asciiTheme="minorEastAsia" w:hAnsiTheme="minorEastAsia" w:eastAsiaTheme="minorEastAsia"/>
                <w:bCs/>
              </w:rPr>
            </w:pPr>
            <w:r>
              <w:rPr>
                <w:rFonts w:hint="eastAsia" w:asciiTheme="minorEastAsia" w:hAnsiTheme="minorEastAsia" w:eastAsiaTheme="minorEastAsia"/>
                <w:bCs/>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79" w:hRule="atLeast"/>
          <w:jc w:val="center"/>
        </w:trPr>
        <w:tc>
          <w:tcPr>
            <w:tcW w:w="952" w:type="dxa"/>
            <w:vMerge w:val="continue"/>
            <w:vAlign w:val="center"/>
          </w:tcPr>
          <w:p>
            <w:pPr>
              <w:spacing w:line="360" w:lineRule="auto"/>
              <w:ind w:firstLine="440" w:firstLineChars="200"/>
              <w:rPr>
                <w:rFonts w:asciiTheme="minorEastAsia" w:hAnsiTheme="minorEastAsia" w:eastAsiaTheme="minorEastAsia"/>
                <w:bCs/>
              </w:rPr>
            </w:pPr>
          </w:p>
        </w:tc>
        <w:tc>
          <w:tcPr>
            <w:tcW w:w="1405" w:type="dxa"/>
            <w:vMerge w:val="continue"/>
            <w:vAlign w:val="center"/>
          </w:tcPr>
          <w:p>
            <w:pPr>
              <w:spacing w:line="360" w:lineRule="auto"/>
              <w:ind w:firstLine="440" w:firstLineChars="200"/>
              <w:jc w:val="center"/>
              <w:rPr>
                <w:rFonts w:asciiTheme="minorEastAsia" w:hAnsiTheme="minorEastAsia" w:eastAsiaTheme="minorEastAsia"/>
                <w:bCs/>
              </w:rPr>
            </w:pPr>
          </w:p>
        </w:tc>
        <w:tc>
          <w:tcPr>
            <w:tcW w:w="5526" w:type="dxa"/>
            <w:vAlign w:val="center"/>
          </w:tcPr>
          <w:p>
            <w:pPr>
              <w:spacing w:line="360" w:lineRule="auto"/>
              <w:ind w:firstLine="440" w:firstLineChars="200"/>
              <w:rPr>
                <w:rFonts w:asciiTheme="minorEastAsia" w:hAnsiTheme="minorEastAsia" w:eastAsiaTheme="minorEastAsia"/>
                <w:bCs/>
              </w:rPr>
            </w:pPr>
            <w:r>
              <w:rPr>
                <w:rFonts w:asciiTheme="minorEastAsia" w:hAnsiTheme="minorEastAsia" w:eastAsiaTheme="minorEastAsia"/>
                <w:bCs/>
              </w:rPr>
              <w:t>根据投标人</w:t>
            </w:r>
            <w:r>
              <w:rPr>
                <w:rFonts w:hint="eastAsia" w:asciiTheme="minorEastAsia" w:hAnsiTheme="minorEastAsia" w:eastAsiaTheme="minorEastAsia"/>
                <w:bCs/>
              </w:rPr>
              <w:t>有可行、合理的运行维护及安全服务的方案；技术维护人员配置到位，维护响应时间承诺合理，应急处理方案完备</w:t>
            </w:r>
            <w:r>
              <w:rPr>
                <w:rFonts w:asciiTheme="minorEastAsia" w:hAnsiTheme="minorEastAsia" w:eastAsiaTheme="minorEastAsia"/>
                <w:bCs/>
              </w:rPr>
              <w:t>等方面进行综合评审，</w:t>
            </w:r>
            <w:r>
              <w:rPr>
                <w:rFonts w:hint="eastAsia" w:asciiTheme="minorEastAsia" w:hAnsiTheme="minorEastAsia" w:eastAsiaTheme="minorEastAsia"/>
                <w:bCs/>
              </w:rPr>
              <w:t>优得4-5分，良得2-3分，一般得0-1分；</w:t>
            </w:r>
          </w:p>
        </w:tc>
        <w:tc>
          <w:tcPr>
            <w:tcW w:w="764" w:type="dxa"/>
            <w:vAlign w:val="center"/>
          </w:tcPr>
          <w:p>
            <w:pPr>
              <w:spacing w:line="360" w:lineRule="auto"/>
              <w:ind w:firstLine="220" w:firstLineChars="100"/>
              <w:jc w:val="both"/>
              <w:rPr>
                <w:rFonts w:asciiTheme="minorEastAsia" w:hAnsiTheme="minorEastAsia" w:eastAsiaTheme="minorEastAsia"/>
                <w:bCs/>
              </w:rPr>
            </w:pPr>
            <w:r>
              <w:rPr>
                <w:rFonts w:hint="eastAsia" w:asciiTheme="minorEastAsia" w:hAnsiTheme="minorEastAsia" w:eastAsiaTheme="minorEastAsia"/>
                <w:bCs/>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78" w:hRule="atLeast"/>
          <w:jc w:val="center"/>
        </w:trPr>
        <w:tc>
          <w:tcPr>
            <w:tcW w:w="952" w:type="dxa"/>
            <w:vMerge w:val="continue"/>
            <w:vAlign w:val="center"/>
          </w:tcPr>
          <w:p>
            <w:pPr>
              <w:spacing w:line="360" w:lineRule="auto"/>
              <w:ind w:firstLine="440" w:firstLineChars="200"/>
              <w:rPr>
                <w:rFonts w:asciiTheme="minorEastAsia" w:hAnsiTheme="minorEastAsia" w:eastAsiaTheme="minorEastAsia"/>
                <w:bCs/>
              </w:rPr>
            </w:pPr>
          </w:p>
        </w:tc>
        <w:tc>
          <w:tcPr>
            <w:tcW w:w="1405" w:type="dxa"/>
            <w:vMerge w:val="continue"/>
            <w:vAlign w:val="center"/>
          </w:tcPr>
          <w:p>
            <w:pPr>
              <w:spacing w:line="360" w:lineRule="auto"/>
              <w:ind w:firstLine="440" w:firstLineChars="200"/>
              <w:jc w:val="center"/>
              <w:rPr>
                <w:rFonts w:asciiTheme="minorEastAsia" w:hAnsiTheme="minorEastAsia" w:eastAsiaTheme="minorEastAsia"/>
                <w:bCs/>
              </w:rPr>
            </w:pPr>
          </w:p>
        </w:tc>
        <w:tc>
          <w:tcPr>
            <w:tcW w:w="5526" w:type="dxa"/>
            <w:vAlign w:val="center"/>
          </w:tcPr>
          <w:p>
            <w:pPr>
              <w:spacing w:line="360" w:lineRule="auto"/>
              <w:ind w:firstLine="440" w:firstLineChars="200"/>
              <w:rPr>
                <w:rFonts w:asciiTheme="minorEastAsia" w:hAnsiTheme="minorEastAsia" w:eastAsiaTheme="minorEastAsia"/>
                <w:bCs/>
              </w:rPr>
            </w:pPr>
            <w:r>
              <w:rPr>
                <w:rFonts w:hint="eastAsia" w:asciiTheme="minorEastAsia" w:hAnsiTheme="minorEastAsia" w:eastAsiaTheme="minorEastAsia"/>
                <w:bCs/>
              </w:rPr>
              <w:t>投标人承诺，提供全部软件</w:t>
            </w:r>
            <w:r>
              <w:rPr>
                <w:rFonts w:asciiTheme="minorEastAsia" w:hAnsiTheme="minorEastAsia" w:eastAsiaTheme="minorEastAsia"/>
                <w:bCs/>
              </w:rPr>
              <w:t>1</w:t>
            </w:r>
            <w:r>
              <w:rPr>
                <w:rFonts w:hint="eastAsia" w:asciiTheme="minorEastAsia" w:hAnsiTheme="minorEastAsia" w:eastAsiaTheme="minorEastAsia"/>
                <w:bCs/>
              </w:rPr>
              <w:t>年内免费升级和质保的得1分，每增加一年得1分，最高得3分，未提供的不得分（提供加盖供应商公章的承诺书原件）</w:t>
            </w:r>
          </w:p>
        </w:tc>
        <w:tc>
          <w:tcPr>
            <w:tcW w:w="764" w:type="dxa"/>
            <w:vAlign w:val="center"/>
          </w:tcPr>
          <w:p>
            <w:pPr>
              <w:spacing w:line="360" w:lineRule="auto"/>
              <w:ind w:firstLine="220" w:firstLineChars="100"/>
              <w:jc w:val="both"/>
              <w:rPr>
                <w:rFonts w:asciiTheme="minorEastAsia" w:hAnsiTheme="minorEastAsia" w:eastAsiaTheme="minorEastAsia"/>
                <w:bCs/>
              </w:rPr>
            </w:pPr>
            <w:r>
              <w:rPr>
                <w:rFonts w:hint="eastAsia" w:asciiTheme="minorEastAsia" w:hAnsiTheme="minorEastAsia" w:eastAsiaTheme="minorEastAsia"/>
                <w:bCs/>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78" w:hRule="atLeast"/>
          <w:jc w:val="center"/>
        </w:trPr>
        <w:tc>
          <w:tcPr>
            <w:tcW w:w="952" w:type="dxa"/>
            <w:vMerge w:val="continue"/>
            <w:vAlign w:val="center"/>
          </w:tcPr>
          <w:p>
            <w:pPr>
              <w:spacing w:line="360" w:lineRule="auto"/>
              <w:ind w:firstLine="440" w:firstLineChars="200"/>
              <w:rPr>
                <w:rFonts w:asciiTheme="minorEastAsia" w:hAnsiTheme="minorEastAsia" w:eastAsiaTheme="minorEastAsia"/>
                <w:bCs/>
              </w:rPr>
            </w:pPr>
          </w:p>
        </w:tc>
        <w:tc>
          <w:tcPr>
            <w:tcW w:w="1405" w:type="dxa"/>
            <w:vMerge w:val="continue"/>
            <w:vAlign w:val="center"/>
          </w:tcPr>
          <w:p>
            <w:pPr>
              <w:spacing w:line="360" w:lineRule="auto"/>
              <w:ind w:firstLine="440" w:firstLineChars="200"/>
              <w:jc w:val="center"/>
              <w:rPr>
                <w:rFonts w:asciiTheme="minorEastAsia" w:hAnsiTheme="minorEastAsia" w:eastAsiaTheme="minorEastAsia"/>
                <w:bCs/>
              </w:rPr>
            </w:pPr>
          </w:p>
        </w:tc>
        <w:tc>
          <w:tcPr>
            <w:tcW w:w="5526" w:type="dxa"/>
            <w:vAlign w:val="center"/>
          </w:tcPr>
          <w:p>
            <w:pPr>
              <w:spacing w:line="360" w:lineRule="auto"/>
              <w:ind w:firstLine="440" w:firstLineChars="200"/>
              <w:rPr>
                <w:rFonts w:asciiTheme="minorEastAsia" w:hAnsiTheme="minorEastAsia" w:eastAsiaTheme="minorEastAsia"/>
                <w:bCs/>
              </w:rPr>
            </w:pPr>
            <w:r>
              <w:rPr>
                <w:rFonts w:hint="eastAsia" w:asciiTheme="minorEastAsia" w:hAnsiTheme="minorEastAsia" w:eastAsiaTheme="minorEastAsia"/>
                <w:bCs/>
              </w:rPr>
              <w:t>投标人相关本地化服务，有固定的售后服务机构，并配备有售后服务人员的得2分，投标人须提供相关的售后服务站点营业执照复印件及售后服务人员社保缴纳票据复印件，否则不得分。</w:t>
            </w:r>
          </w:p>
        </w:tc>
        <w:tc>
          <w:tcPr>
            <w:tcW w:w="764" w:type="dxa"/>
            <w:vAlign w:val="center"/>
          </w:tcPr>
          <w:p>
            <w:pPr>
              <w:spacing w:line="360" w:lineRule="auto"/>
              <w:ind w:firstLine="220" w:firstLineChars="100"/>
              <w:jc w:val="both"/>
              <w:rPr>
                <w:rFonts w:asciiTheme="minorEastAsia" w:hAnsiTheme="minorEastAsia" w:eastAsiaTheme="minorEastAsia"/>
                <w:bCs/>
              </w:rPr>
            </w:pPr>
            <w:r>
              <w:rPr>
                <w:rFonts w:hint="eastAsia" w:asciiTheme="minorEastAsia" w:hAnsiTheme="minorEastAsia" w:eastAsiaTheme="minorEastAsia"/>
                <w:bCs/>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56" w:hRule="atLeast"/>
          <w:jc w:val="center"/>
        </w:trPr>
        <w:tc>
          <w:tcPr>
            <w:tcW w:w="952" w:type="dxa"/>
            <w:vAlign w:val="center"/>
          </w:tcPr>
          <w:p>
            <w:pPr>
              <w:spacing w:line="360" w:lineRule="auto"/>
              <w:ind w:firstLine="440" w:firstLineChars="200"/>
              <w:rPr>
                <w:rFonts w:asciiTheme="minorEastAsia" w:hAnsiTheme="minorEastAsia" w:eastAsiaTheme="minorEastAsia"/>
                <w:bCs/>
              </w:rPr>
            </w:pPr>
            <w:r>
              <w:rPr>
                <w:rFonts w:hint="eastAsia" w:asciiTheme="minorEastAsia" w:hAnsiTheme="minorEastAsia" w:eastAsiaTheme="minorEastAsia"/>
                <w:bCs/>
              </w:rPr>
              <w:t>5</w:t>
            </w:r>
          </w:p>
        </w:tc>
        <w:tc>
          <w:tcPr>
            <w:tcW w:w="1405" w:type="dxa"/>
            <w:vAlign w:val="center"/>
          </w:tcPr>
          <w:p>
            <w:pPr>
              <w:spacing w:line="360" w:lineRule="auto"/>
              <w:ind w:firstLine="440" w:firstLineChars="200"/>
              <w:jc w:val="center"/>
              <w:rPr>
                <w:rFonts w:asciiTheme="minorEastAsia" w:hAnsiTheme="minorEastAsia" w:eastAsiaTheme="minorEastAsia"/>
                <w:bCs/>
              </w:rPr>
            </w:pPr>
          </w:p>
          <w:p>
            <w:pPr>
              <w:spacing w:line="360" w:lineRule="auto"/>
              <w:ind w:firstLine="440" w:firstLineChars="200"/>
              <w:jc w:val="both"/>
              <w:rPr>
                <w:rFonts w:asciiTheme="minorEastAsia" w:hAnsiTheme="minorEastAsia" w:eastAsiaTheme="minorEastAsia"/>
                <w:bCs/>
              </w:rPr>
            </w:pPr>
            <w:r>
              <w:rPr>
                <w:rFonts w:hint="eastAsia" w:asciiTheme="minorEastAsia" w:hAnsiTheme="minorEastAsia" w:eastAsiaTheme="minorEastAsia"/>
                <w:bCs/>
              </w:rPr>
              <w:t>业绩</w:t>
            </w:r>
          </w:p>
          <w:p>
            <w:pPr>
              <w:spacing w:line="360" w:lineRule="auto"/>
              <w:ind w:firstLine="220" w:firstLineChars="100"/>
              <w:jc w:val="both"/>
              <w:rPr>
                <w:rFonts w:asciiTheme="minorEastAsia" w:hAnsiTheme="minorEastAsia" w:eastAsiaTheme="minorEastAsia"/>
                <w:bCs/>
              </w:rPr>
            </w:pPr>
            <w:r>
              <w:rPr>
                <w:rFonts w:hint="eastAsia" w:asciiTheme="minorEastAsia" w:hAnsiTheme="minorEastAsia" w:eastAsiaTheme="minorEastAsia"/>
                <w:bCs/>
              </w:rPr>
              <w:t>（</w:t>
            </w:r>
            <w:r>
              <w:rPr>
                <w:rFonts w:asciiTheme="minorEastAsia" w:hAnsiTheme="minorEastAsia" w:eastAsiaTheme="minorEastAsia"/>
                <w:bCs/>
              </w:rPr>
              <w:t>10</w:t>
            </w:r>
            <w:r>
              <w:rPr>
                <w:rFonts w:hint="eastAsia" w:asciiTheme="minorEastAsia" w:hAnsiTheme="minorEastAsia" w:eastAsiaTheme="minorEastAsia"/>
                <w:bCs/>
              </w:rPr>
              <w:t>分）</w:t>
            </w:r>
          </w:p>
          <w:p>
            <w:pPr>
              <w:spacing w:line="360" w:lineRule="auto"/>
              <w:ind w:firstLine="440" w:firstLineChars="200"/>
              <w:jc w:val="center"/>
              <w:rPr>
                <w:rFonts w:asciiTheme="minorEastAsia" w:hAnsiTheme="minorEastAsia" w:eastAsiaTheme="minorEastAsia"/>
                <w:bCs/>
              </w:rPr>
            </w:pPr>
          </w:p>
        </w:tc>
        <w:tc>
          <w:tcPr>
            <w:tcW w:w="5526" w:type="dxa"/>
            <w:vAlign w:val="center"/>
          </w:tcPr>
          <w:p>
            <w:pPr>
              <w:spacing w:line="360" w:lineRule="auto"/>
              <w:ind w:firstLine="440" w:firstLineChars="200"/>
              <w:rPr>
                <w:rFonts w:asciiTheme="minorEastAsia" w:hAnsiTheme="minorEastAsia" w:eastAsiaTheme="minorEastAsia"/>
                <w:bCs/>
              </w:rPr>
            </w:pPr>
            <w:r>
              <w:rPr>
                <w:rFonts w:hint="eastAsia" w:asciiTheme="minorEastAsia" w:hAnsiTheme="minorEastAsia" w:eastAsiaTheme="minorEastAsia"/>
                <w:bCs/>
                <w:lang w:val="zh-CN"/>
              </w:rPr>
              <w:t>提供自</w:t>
            </w:r>
            <w:r>
              <w:rPr>
                <w:rFonts w:hint="eastAsia" w:asciiTheme="minorEastAsia" w:hAnsiTheme="minorEastAsia" w:eastAsiaTheme="minorEastAsia"/>
                <w:bCs/>
              </w:rPr>
              <w:t>2018年1月1日（以合同签订时间为准）以</w:t>
            </w:r>
            <w:r>
              <w:rPr>
                <w:rFonts w:hint="eastAsia" w:asciiTheme="minorEastAsia" w:hAnsiTheme="minorEastAsia" w:eastAsiaTheme="minorEastAsia"/>
                <w:bCs/>
                <w:lang w:val="zh-CN"/>
              </w:rPr>
              <w:t>来，投标人完成的化学类虚拟仿真软件</w:t>
            </w:r>
            <w:r>
              <w:rPr>
                <w:rFonts w:hint="eastAsia" w:asciiTheme="minorEastAsia" w:hAnsiTheme="minorEastAsia" w:eastAsiaTheme="minorEastAsia"/>
                <w:bCs/>
              </w:rPr>
              <w:t>的</w:t>
            </w:r>
            <w:r>
              <w:rPr>
                <w:rFonts w:hint="eastAsia" w:asciiTheme="minorEastAsia" w:hAnsiTheme="minorEastAsia" w:eastAsiaTheme="minorEastAsia"/>
                <w:bCs/>
                <w:lang w:val="zh-CN"/>
              </w:rPr>
              <w:t>类似合同案例，每提供一份有效合同复印件得</w:t>
            </w:r>
            <w:r>
              <w:rPr>
                <w:rFonts w:hint="eastAsia" w:asciiTheme="minorEastAsia" w:hAnsiTheme="minorEastAsia" w:eastAsiaTheme="minorEastAsia"/>
                <w:bCs/>
              </w:rPr>
              <w:t>2分，最多得10分。提供复印件加盖公章，合同原件备查。</w:t>
            </w:r>
          </w:p>
        </w:tc>
        <w:tc>
          <w:tcPr>
            <w:tcW w:w="764" w:type="dxa"/>
            <w:vAlign w:val="center"/>
          </w:tcPr>
          <w:p>
            <w:pPr>
              <w:spacing w:line="360" w:lineRule="auto"/>
              <w:ind w:firstLine="220" w:firstLineChars="100"/>
              <w:jc w:val="both"/>
              <w:rPr>
                <w:rFonts w:asciiTheme="minorEastAsia" w:hAnsiTheme="minorEastAsia" w:eastAsiaTheme="minorEastAsia"/>
                <w:bCs/>
              </w:rPr>
            </w:pPr>
            <w:r>
              <w:rPr>
                <w:rFonts w:hint="eastAsia" w:asciiTheme="minorEastAsia" w:hAnsiTheme="minorEastAsia" w:eastAsiaTheme="minorEastAsia"/>
                <w:bCs/>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9" w:hRule="atLeast"/>
          <w:jc w:val="center"/>
        </w:trPr>
        <w:tc>
          <w:tcPr>
            <w:tcW w:w="952" w:type="dxa"/>
            <w:vAlign w:val="center"/>
          </w:tcPr>
          <w:p>
            <w:pPr>
              <w:spacing w:line="360" w:lineRule="auto"/>
              <w:ind w:firstLine="440" w:firstLineChars="200"/>
              <w:rPr>
                <w:rFonts w:asciiTheme="minorEastAsia" w:hAnsiTheme="minorEastAsia" w:eastAsiaTheme="minorEastAsia"/>
                <w:bCs/>
              </w:rPr>
            </w:pPr>
            <w:r>
              <w:rPr>
                <w:rFonts w:hint="eastAsia" w:asciiTheme="minorEastAsia" w:hAnsiTheme="minorEastAsia" w:eastAsiaTheme="minorEastAsia"/>
                <w:bCs/>
              </w:rPr>
              <w:t>6</w:t>
            </w:r>
          </w:p>
        </w:tc>
        <w:tc>
          <w:tcPr>
            <w:tcW w:w="1405" w:type="dxa"/>
            <w:vAlign w:val="center"/>
          </w:tcPr>
          <w:p>
            <w:pPr>
              <w:spacing w:line="360" w:lineRule="auto"/>
              <w:ind w:firstLine="220" w:firstLineChars="100"/>
              <w:jc w:val="both"/>
              <w:rPr>
                <w:rFonts w:asciiTheme="minorEastAsia" w:hAnsiTheme="minorEastAsia" w:eastAsiaTheme="minorEastAsia"/>
                <w:bCs/>
              </w:rPr>
            </w:pPr>
            <w:r>
              <w:rPr>
                <w:rFonts w:hint="eastAsia" w:asciiTheme="minorEastAsia" w:hAnsiTheme="minorEastAsia" w:eastAsiaTheme="minorEastAsia"/>
                <w:bCs/>
              </w:rPr>
              <w:t>系统演示</w:t>
            </w:r>
          </w:p>
          <w:p>
            <w:pPr>
              <w:spacing w:line="360" w:lineRule="auto"/>
              <w:ind w:firstLine="220" w:firstLineChars="100"/>
              <w:jc w:val="both"/>
              <w:rPr>
                <w:rFonts w:asciiTheme="minorEastAsia" w:hAnsiTheme="minorEastAsia" w:eastAsiaTheme="minorEastAsia"/>
                <w:bCs/>
              </w:rPr>
            </w:pPr>
            <w:r>
              <w:rPr>
                <w:rFonts w:hint="eastAsia" w:asciiTheme="minorEastAsia" w:hAnsiTheme="minorEastAsia" w:eastAsiaTheme="minorEastAsia"/>
                <w:bCs/>
              </w:rPr>
              <w:t>（2</w:t>
            </w:r>
            <w:r>
              <w:rPr>
                <w:rFonts w:asciiTheme="minorEastAsia" w:hAnsiTheme="minorEastAsia" w:eastAsiaTheme="minorEastAsia"/>
                <w:bCs/>
              </w:rPr>
              <w:t>0</w:t>
            </w:r>
            <w:r>
              <w:rPr>
                <w:rFonts w:hint="eastAsia" w:asciiTheme="minorEastAsia" w:hAnsiTheme="minorEastAsia" w:eastAsiaTheme="minorEastAsia"/>
                <w:bCs/>
              </w:rPr>
              <w:t>分）</w:t>
            </w:r>
          </w:p>
          <w:p>
            <w:pPr>
              <w:spacing w:line="360" w:lineRule="auto"/>
              <w:ind w:firstLine="440" w:firstLineChars="200"/>
              <w:jc w:val="center"/>
              <w:rPr>
                <w:rFonts w:asciiTheme="minorEastAsia" w:hAnsiTheme="minorEastAsia" w:eastAsiaTheme="minorEastAsia"/>
                <w:bCs/>
              </w:rPr>
            </w:pPr>
          </w:p>
        </w:tc>
        <w:tc>
          <w:tcPr>
            <w:tcW w:w="5526" w:type="dxa"/>
            <w:vAlign w:val="center"/>
          </w:tcPr>
          <w:p>
            <w:pPr>
              <w:spacing w:line="360" w:lineRule="auto"/>
              <w:ind w:firstLine="440" w:firstLineChars="200"/>
              <w:rPr>
                <w:rFonts w:asciiTheme="minorEastAsia" w:hAnsiTheme="minorEastAsia" w:eastAsiaTheme="minorEastAsia"/>
                <w:bCs/>
                <w:lang w:val="zh-CN"/>
              </w:rPr>
            </w:pPr>
            <w:r>
              <w:rPr>
                <w:rFonts w:hint="eastAsia" w:asciiTheme="minorEastAsia" w:hAnsiTheme="minorEastAsia" w:eastAsiaTheme="minorEastAsia"/>
                <w:bCs/>
                <w:lang w:val="zh-CN"/>
              </w:rPr>
              <w:t>现场演示要求：每位投标人演示时间不超过1</w:t>
            </w:r>
            <w:r>
              <w:rPr>
                <w:rFonts w:hint="eastAsia" w:asciiTheme="minorEastAsia" w:hAnsiTheme="minorEastAsia" w:eastAsiaTheme="minorEastAsia"/>
                <w:bCs/>
              </w:rPr>
              <w:t>0</w:t>
            </w:r>
            <w:r>
              <w:rPr>
                <w:rFonts w:hint="eastAsia" w:asciiTheme="minorEastAsia" w:hAnsiTheme="minorEastAsia" w:eastAsiaTheme="minorEastAsia"/>
                <w:bCs/>
                <w:lang w:val="zh-CN"/>
              </w:rPr>
              <w:t>分钟，演示电脑由供应商自备。演示模块内容须过程完整，严谨、科学、交互性强，符合技术参数要求，不得出现专业性错误；演示的每一项内容可以是现场软件操作也可以播放软件操作录屏或视频。未演示的本项不得分。</w:t>
            </w:r>
          </w:p>
          <w:p>
            <w:pPr>
              <w:spacing w:line="360" w:lineRule="auto"/>
              <w:ind w:firstLine="440" w:firstLineChars="200"/>
              <w:rPr>
                <w:rFonts w:asciiTheme="minorEastAsia" w:hAnsiTheme="minorEastAsia" w:eastAsiaTheme="minorEastAsia"/>
                <w:bCs/>
              </w:rPr>
            </w:pPr>
            <w:r>
              <w:rPr>
                <w:rFonts w:hint="eastAsia" w:asciiTheme="minorEastAsia" w:hAnsiTheme="minorEastAsia" w:eastAsiaTheme="minorEastAsia"/>
                <w:bCs/>
              </w:rPr>
              <w:t>演示环节包括：</w:t>
            </w:r>
          </w:p>
          <w:p>
            <w:pPr>
              <w:spacing w:line="360" w:lineRule="auto"/>
              <w:ind w:firstLine="440" w:firstLineChars="200"/>
              <w:rPr>
                <w:rFonts w:asciiTheme="minorEastAsia" w:hAnsiTheme="minorEastAsia" w:eastAsiaTheme="minorEastAsia"/>
                <w:bCs/>
              </w:rPr>
            </w:pPr>
            <w:r>
              <w:rPr>
                <w:rFonts w:hint="eastAsia" w:asciiTheme="minorEastAsia" w:hAnsiTheme="minorEastAsia" w:eastAsiaTheme="minorEastAsia"/>
                <w:bCs/>
              </w:rPr>
              <w:t>A、基础化学实验操作演示要求包含：熔点的测定、减压蒸馏、滴定管的使用、移液管的基本操作，柱层析的制备及应用。（10分）</w:t>
            </w:r>
          </w:p>
          <w:p>
            <w:pPr>
              <w:spacing w:line="360" w:lineRule="auto"/>
              <w:ind w:firstLine="440" w:firstLineChars="200"/>
              <w:rPr>
                <w:rFonts w:asciiTheme="minorEastAsia" w:hAnsiTheme="minorEastAsia" w:eastAsiaTheme="minorEastAsia"/>
                <w:bCs/>
              </w:rPr>
            </w:pPr>
            <w:r>
              <w:rPr>
                <w:rFonts w:hint="eastAsia" w:asciiTheme="minorEastAsia" w:hAnsiTheme="minorEastAsia" w:eastAsiaTheme="minorEastAsia"/>
                <w:bCs/>
              </w:rPr>
              <w:t>B、分析化学实验操作演示要求包含滴定分析操作，滴定时有标准的三维滴定手势展示，可以通过操作控制滴定速度，具有半滴操作；滴定终点能够随标准溶液质量的不同而正确变化。各溶液颜色正确，滴定终点变色明显。（10分）</w:t>
            </w:r>
          </w:p>
        </w:tc>
        <w:tc>
          <w:tcPr>
            <w:tcW w:w="764" w:type="dxa"/>
            <w:vAlign w:val="center"/>
          </w:tcPr>
          <w:p>
            <w:pPr>
              <w:spacing w:line="360" w:lineRule="auto"/>
              <w:ind w:firstLine="220" w:firstLineChars="100"/>
              <w:jc w:val="both"/>
              <w:rPr>
                <w:rFonts w:asciiTheme="minorEastAsia" w:hAnsiTheme="minorEastAsia" w:eastAsiaTheme="minorEastAsia"/>
                <w:bCs/>
              </w:rPr>
            </w:pPr>
            <w:r>
              <w:rPr>
                <w:rFonts w:hint="eastAsia" w:asciiTheme="minorEastAsia" w:hAnsiTheme="minorEastAsia" w:eastAsiaTheme="minorEastAsia"/>
                <w:bCs/>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5" w:hRule="atLeast"/>
          <w:jc w:val="center"/>
        </w:trPr>
        <w:tc>
          <w:tcPr>
            <w:tcW w:w="952" w:type="dxa"/>
            <w:vAlign w:val="center"/>
          </w:tcPr>
          <w:p>
            <w:pPr>
              <w:spacing w:line="360" w:lineRule="auto"/>
              <w:ind w:firstLine="440" w:firstLineChars="200"/>
              <w:rPr>
                <w:rFonts w:asciiTheme="minorEastAsia" w:hAnsiTheme="minorEastAsia" w:eastAsiaTheme="minorEastAsia"/>
                <w:bCs/>
              </w:rPr>
            </w:pPr>
            <w:r>
              <w:rPr>
                <w:rFonts w:hint="eastAsia" w:asciiTheme="minorEastAsia" w:hAnsiTheme="minorEastAsia" w:eastAsiaTheme="minorEastAsia"/>
                <w:bCs/>
              </w:rPr>
              <w:t>7</w:t>
            </w:r>
          </w:p>
        </w:tc>
        <w:tc>
          <w:tcPr>
            <w:tcW w:w="1405" w:type="dxa"/>
            <w:vAlign w:val="center"/>
          </w:tcPr>
          <w:p>
            <w:pPr>
              <w:spacing w:line="360" w:lineRule="auto"/>
              <w:jc w:val="center"/>
              <w:rPr>
                <w:rFonts w:asciiTheme="minorEastAsia" w:hAnsiTheme="minorEastAsia" w:eastAsiaTheme="minorEastAsia"/>
                <w:bCs/>
              </w:rPr>
            </w:pPr>
            <w:r>
              <w:rPr>
                <w:rFonts w:hint="eastAsia" w:asciiTheme="minorEastAsia" w:hAnsiTheme="minorEastAsia" w:eastAsiaTheme="minorEastAsia"/>
                <w:bCs/>
              </w:rPr>
              <w:t>投标文件</w:t>
            </w:r>
          </w:p>
          <w:p>
            <w:pPr>
              <w:spacing w:line="360" w:lineRule="auto"/>
              <w:jc w:val="center"/>
              <w:rPr>
                <w:rFonts w:asciiTheme="minorEastAsia" w:hAnsiTheme="minorEastAsia" w:eastAsiaTheme="minorEastAsia"/>
                <w:bCs/>
              </w:rPr>
            </w:pPr>
            <w:r>
              <w:rPr>
                <w:rFonts w:hint="eastAsia" w:asciiTheme="minorEastAsia" w:hAnsiTheme="minorEastAsia" w:eastAsiaTheme="minorEastAsia"/>
                <w:bCs/>
              </w:rPr>
              <w:t>完整性</w:t>
            </w:r>
          </w:p>
          <w:p>
            <w:pPr>
              <w:spacing w:line="360" w:lineRule="auto"/>
              <w:ind w:firstLine="220" w:firstLineChars="100"/>
              <w:jc w:val="both"/>
              <w:rPr>
                <w:rFonts w:asciiTheme="minorEastAsia" w:hAnsiTheme="minorEastAsia" w:eastAsiaTheme="minorEastAsia"/>
                <w:bCs/>
              </w:rPr>
            </w:pPr>
            <w:r>
              <w:rPr>
                <w:rFonts w:hint="eastAsia" w:asciiTheme="minorEastAsia" w:hAnsiTheme="minorEastAsia" w:eastAsiaTheme="minorEastAsia"/>
                <w:bCs/>
              </w:rPr>
              <w:t>（2分）</w:t>
            </w:r>
          </w:p>
        </w:tc>
        <w:tc>
          <w:tcPr>
            <w:tcW w:w="5526" w:type="dxa"/>
            <w:vAlign w:val="center"/>
          </w:tcPr>
          <w:p>
            <w:pPr>
              <w:spacing w:line="360" w:lineRule="auto"/>
              <w:ind w:firstLine="440" w:firstLineChars="200"/>
              <w:rPr>
                <w:rFonts w:asciiTheme="minorEastAsia" w:hAnsiTheme="minorEastAsia" w:eastAsiaTheme="minorEastAsia"/>
                <w:bCs/>
              </w:rPr>
            </w:pPr>
            <w:r>
              <w:rPr>
                <w:rFonts w:hint="eastAsia" w:asciiTheme="minorEastAsia" w:hAnsiTheme="minorEastAsia" w:eastAsiaTheme="minorEastAsia"/>
                <w:bCs/>
              </w:rPr>
              <w:t>根据投标人制作的投标文件的响应情况、技术服务内容是否齐全等进行酌情给予0-1分。按招标文件规定的顺序装订（0.5分）；有投标文件目录、编页码有利于评委评审、查阅（0.5分）。</w:t>
            </w:r>
          </w:p>
        </w:tc>
        <w:tc>
          <w:tcPr>
            <w:tcW w:w="764" w:type="dxa"/>
            <w:vAlign w:val="center"/>
          </w:tcPr>
          <w:p>
            <w:pPr>
              <w:spacing w:line="360" w:lineRule="auto"/>
              <w:ind w:firstLine="440" w:firstLineChars="200"/>
              <w:jc w:val="center"/>
              <w:rPr>
                <w:rFonts w:asciiTheme="minorEastAsia" w:hAnsiTheme="minorEastAsia" w:eastAsiaTheme="minorEastAsia"/>
                <w:bCs/>
              </w:rPr>
            </w:pPr>
            <w:r>
              <w:rPr>
                <w:rFonts w:hint="eastAsia" w:asciiTheme="minorEastAsia" w:hAnsiTheme="minorEastAsia" w:eastAsiaTheme="minorEastAsia"/>
                <w:bCs/>
              </w:rPr>
              <w:t>2</w:t>
            </w:r>
          </w:p>
        </w:tc>
      </w:tr>
    </w:tbl>
    <w:p>
      <w:pPr>
        <w:spacing w:line="360" w:lineRule="auto"/>
        <w:rPr>
          <w:rFonts w:asciiTheme="minorEastAsia" w:hAnsiTheme="minorEastAsia" w:eastAsiaTheme="minorEastAsia"/>
          <w:bCs/>
          <w:sz w:val="28"/>
          <w:szCs w:val="28"/>
        </w:rPr>
      </w:pPr>
    </w:p>
    <w:bookmarkEnd w:id="184"/>
    <w:p>
      <w:pPr>
        <w:pStyle w:val="3"/>
        <w:pageBreakBefore/>
        <w:rPr>
          <w:rFonts w:ascii="宋体" w:hAnsi="宋体" w:eastAsia="宋体"/>
          <w:b/>
          <w:bCs/>
          <w:sz w:val="44"/>
        </w:rPr>
      </w:pPr>
      <w:bookmarkStart w:id="186" w:name="_Toc523931349"/>
      <w:r>
        <w:rPr>
          <w:rFonts w:hint="eastAsia" w:ascii="宋体" w:hAnsi="宋体" w:eastAsia="宋体"/>
          <w:b/>
          <w:bCs/>
          <w:sz w:val="44"/>
        </w:rPr>
        <w:t>第五章  投标文件格式</w:t>
      </w:r>
      <w:bookmarkEnd w:id="186"/>
    </w:p>
    <w:p>
      <w:pPr>
        <w:jc w:val="center"/>
        <w:rPr>
          <w:rFonts w:ascii="宋体" w:hAnsi="宋体"/>
          <w:b/>
          <w:sz w:val="72"/>
        </w:rPr>
      </w:pPr>
      <w:bookmarkStart w:id="187" w:name="_Hlt26955039"/>
      <w:bookmarkEnd w:id="187"/>
      <w:bookmarkStart w:id="188" w:name="_Hlt26671244"/>
      <w:bookmarkEnd w:id="188"/>
      <w:bookmarkStart w:id="189" w:name="_Toc120614282"/>
      <w:bookmarkStart w:id="190" w:name="_Toc49090576"/>
      <w:bookmarkStart w:id="191" w:name="_Toc26554094"/>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ind w:firstLine="720" w:firstLineChars="200"/>
        <w:rPr>
          <w:rFonts w:ascii="宋体" w:hAnsi="宋体"/>
          <w:b/>
          <w:sz w:val="36"/>
          <w:u w:val="single"/>
        </w:rPr>
      </w:pPr>
      <w:r>
        <w:rPr>
          <w:rFonts w:hint="eastAsia" w:ascii="宋体" w:hAnsi="宋体"/>
          <w:b/>
          <w:sz w:val="36"/>
        </w:rPr>
        <w:t>投标人名称：</w:t>
      </w:r>
    </w:p>
    <w:p>
      <w:pPr>
        <w:ind w:firstLine="1801" w:firstLineChars="500"/>
        <w:rPr>
          <w:rFonts w:ascii="宋体" w:hAnsi="宋体"/>
          <w:b/>
          <w:sz w:val="36"/>
        </w:rPr>
      </w:pPr>
      <w:r>
        <w:rPr>
          <w:rFonts w:hint="eastAsia" w:ascii="宋体" w:hAnsi="宋体"/>
          <w:b/>
          <w:sz w:val="36"/>
        </w:rPr>
        <w:t>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7"/>
        <w:ind w:firstLine="0"/>
        <w:jc w:val="center"/>
        <w:rPr>
          <w:b/>
        </w:rPr>
      </w:pPr>
      <w:bookmarkStart w:id="192" w:name="_Toc517190894"/>
      <w:r>
        <w:rPr>
          <w:rFonts w:hint="eastAsia"/>
          <w:b/>
          <w:sz w:val="32"/>
        </w:rPr>
        <w:t>投标函格式</w:t>
      </w:r>
      <w:bookmarkEnd w:id="192"/>
    </w:p>
    <w:p>
      <w:pPr>
        <w:pStyle w:val="27"/>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7"/>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7"/>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7"/>
        <w:spacing w:before="0" w:after="0" w:line="420" w:lineRule="exact"/>
        <w:ind w:left="440" w:leftChars="200" w:firstLine="3500" w:firstLineChars="1250"/>
        <w:rPr>
          <w:rFonts w:ascii="宋体" w:hAnsi="宋体"/>
          <w:kern w:val="2"/>
          <w:sz w:val="28"/>
          <w:szCs w:val="21"/>
        </w:rPr>
      </w:pPr>
    </w:p>
    <w:p>
      <w:pPr>
        <w:pStyle w:val="27"/>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7"/>
        <w:ind w:firstLine="0"/>
        <w:jc w:val="center"/>
        <w:rPr>
          <w:b/>
          <w:sz w:val="32"/>
        </w:rPr>
      </w:pPr>
      <w:bookmarkStart w:id="193" w:name="_Toc517190895"/>
      <w:r>
        <w:rPr>
          <w:rFonts w:hint="eastAsia"/>
          <w:b/>
          <w:sz w:val="32"/>
        </w:rPr>
        <w:t>法人授权书</w:t>
      </w:r>
      <w:bookmarkEnd w:id="193"/>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3"/>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3"/>
        <w:spacing w:line="360" w:lineRule="auto"/>
        <w:ind w:firstLine="560"/>
        <w:jc w:val="right"/>
        <w:rPr>
          <w:rFonts w:asciiTheme="minorEastAsia" w:hAnsiTheme="minorEastAsia" w:eastAsiaTheme="minorEastAsia"/>
          <w:szCs w:val="24"/>
        </w:rPr>
      </w:pP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3"/>
        <w:spacing w:line="360" w:lineRule="auto"/>
        <w:ind w:firstLine="560"/>
        <w:jc w:val="right"/>
        <w:rPr>
          <w:rFonts w:asciiTheme="minorEastAsia" w:hAnsiTheme="minorEastAsia" w:eastAsiaTheme="minorEastAsia"/>
          <w:szCs w:val="24"/>
        </w:rPr>
      </w:pPr>
    </w:p>
    <w:p>
      <w:pPr>
        <w:pStyle w:val="43"/>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6"/>
        <w:rPr>
          <w:rFonts w:asciiTheme="minorEastAsia" w:hAnsiTheme="minorEastAsia" w:eastAsiaTheme="minorEastAsia"/>
          <w:sz w:val="22"/>
        </w:rPr>
      </w:pPr>
      <w:bookmarkStart w:id="194" w:name="_Hlt26671380"/>
      <w:bookmarkEnd w:id="194"/>
      <w:bookmarkStart w:id="195" w:name="_格式3__银行出具的资信证明"/>
      <w:bookmarkEnd w:id="195"/>
      <w:bookmarkStart w:id="196" w:name="_Hlt26955070"/>
      <w:bookmarkEnd w:id="196"/>
    </w:p>
    <w:p>
      <w:pPr>
        <w:pStyle w:val="4"/>
        <w:rPr>
          <w:rFonts w:asciiTheme="minorEastAsia" w:hAnsiTheme="minorEastAsia" w:eastAsiaTheme="minorEastAsia"/>
          <w:sz w:val="36"/>
        </w:rPr>
      </w:pPr>
    </w:p>
    <w:p>
      <w:pPr>
        <w:pStyle w:val="27"/>
        <w:pageBreakBefore/>
        <w:ind w:firstLine="0"/>
        <w:jc w:val="center"/>
        <w:rPr>
          <w:b/>
          <w:sz w:val="32"/>
          <w:szCs w:val="20"/>
        </w:rPr>
      </w:pPr>
      <w:bookmarkStart w:id="197" w:name="_Toc517190896"/>
      <w:r>
        <w:rPr>
          <w:rFonts w:hint="eastAsia"/>
          <w:b/>
          <w:sz w:val="32"/>
        </w:rPr>
        <w:t>开标一览表</w:t>
      </w:r>
      <w:bookmarkEnd w:id="197"/>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18"/>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7"/>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8"/>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7"/>
        <w:ind w:firstLine="0"/>
        <w:jc w:val="center"/>
        <w:rPr>
          <w:b/>
          <w:sz w:val="32"/>
        </w:rPr>
      </w:pPr>
      <w:r>
        <w:rPr>
          <w:rFonts w:hint="eastAsia"/>
          <w:b/>
          <w:sz w:val="32"/>
        </w:rPr>
        <w:t>投标产品配置及分项报价表</w:t>
      </w:r>
    </w:p>
    <w:tbl>
      <w:tblPr>
        <w:tblStyle w:val="1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1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89"/>
    <w:bookmarkEnd w:id="190"/>
    <w:bookmarkEnd w:id="191"/>
    <w:p>
      <w:pPr>
        <w:jc w:val="center"/>
        <w:rPr>
          <w:rFonts w:ascii="Arial" w:hAnsi="Arial" w:eastAsia="宋体" w:cs="Times New Roman"/>
          <w:b/>
          <w:sz w:val="32"/>
          <w:szCs w:val="24"/>
        </w:rPr>
      </w:pPr>
      <w:bookmarkStart w:id="198"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18"/>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6"/>
      </w:pPr>
    </w:p>
    <w:bookmarkEnd w:id="198"/>
    <w:p>
      <w:pPr>
        <w:pStyle w:val="27"/>
        <w:ind w:firstLine="0"/>
        <w:rPr>
          <w:rFonts w:asciiTheme="minorEastAsia" w:hAnsiTheme="minorEastAsia" w:eastAsiaTheme="minorEastAsia"/>
          <w:sz w:val="28"/>
          <w:szCs w:val="28"/>
        </w:rPr>
      </w:pPr>
    </w:p>
    <w:p>
      <w:pPr>
        <w:pStyle w:val="27"/>
        <w:ind w:firstLine="0"/>
        <w:rPr>
          <w:rFonts w:asciiTheme="minorEastAsia" w:hAnsiTheme="minorEastAsia" w:eastAsiaTheme="minorEastAsia"/>
          <w:sz w:val="28"/>
          <w:szCs w:val="28"/>
        </w:rPr>
      </w:pPr>
    </w:p>
    <w:p>
      <w:pPr>
        <w:pStyle w:val="27"/>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18"/>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授权代表身份证明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法人授权书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无重大违法说明 </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10</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jc w:val="both"/>
        <w:rPr>
          <w:rFonts w:asciiTheme="minorEastAsia" w:hAnsiTheme="minorEastAsia" w:eastAsiaTheme="minorEastAsia"/>
          <w:sz w:val="28"/>
          <w:szCs w:val="28"/>
        </w:rPr>
      </w:pPr>
      <w:r>
        <w:rPr>
          <w:rFonts w:hint="eastAsia" w:ascii="宋体" w:hAnsi="宋体"/>
        </w:rPr>
        <w:t xml:space="preserve"> </w:t>
      </w:r>
      <w:r>
        <w:rPr>
          <w:rFonts w:hint="eastAsia" w:asciiTheme="minorEastAsia" w:hAnsiTheme="minorEastAsia" w:eastAsiaTheme="minorEastAsia"/>
          <w:sz w:val="28"/>
          <w:szCs w:val="28"/>
        </w:rPr>
        <w:t>法定代表人或授权代表签字：</w:t>
      </w:r>
    </w:p>
    <w:p>
      <w:pPr>
        <w:spacing w:line="360" w:lineRule="auto"/>
        <w:rPr>
          <w:rFonts w:ascii="宋体" w:hAnsi="宋体" w:eastAsia="宋体"/>
          <w:b/>
          <w:bCs/>
          <w:sz w:val="36"/>
          <w:szCs w:val="36"/>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委托方（甲方）：南京医科大学          受托方（乙方）：              </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地址：                                地址：                        </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联系方式：                            联系方式：                 </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甲方委托乙方就甲方                    项目（项目编号：        ）提供          专项技术服务，甲方支付相应的技术服务报酬。双方经协商一致，在真实、充分地表达各自意愿的基础上，根据《中华人民共和国合同法》的规定，达成如下协议，并由双方共同恪守。</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第一条 甲方委托乙方进行技术服务的内容如下：</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1．技术服务的目标：</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2．技术服务的内容：</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3．技术服务的方式：</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第二条 乙方应按下列要求完成技术服务工作：</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1．技术服务地点：</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2．技术服务期限：</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3．技术服务进度：</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4．技术服务质量要求：</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5．技术服务质量期限要求：</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第三条 为保证乙方有效进行技术服务工作，甲方应当向乙方提供下列工作条件和协作事项：</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1．提供技术资料：（1）                                                 ；（2）                                                 ；    （3）                                                 ；   </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2．提供工作条件： （1）                                                    ；       （2）                                                  ；      </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3．其他：                /                             。   </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第四条 技术服务费及支付方式</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1．技术服务费总额为：人民币（大写）                  元整（￥    ）；</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2．技术服务费由甲方             （一次性或分期）支付给乙方。 </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一次性支付时间：在    年  月  日前支付；</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分期支付方式和时间如下：</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第一期服务费金额人民币   /   元，在    年  月  日前支付；</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第二期服务费金额人民币    /  元，在    年  月  日前支付；</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第三期服务费金额人民币   /   元，在    年  月  日前支付；</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第四期尾款金额人民币   /   元，在甲方验收合格后   日内支付；</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乙方开户银行名称、账户名称和帐号为：</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开户银行：  </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账户名称：  </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帐    号： </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第五条 双方确定因履行本合同应遵守的保密义务如下：</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5.1.甲方：</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5.1.1.保密内容（包括技术信息和经营信息）: </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5.1.2.涉密人员范围: </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5.1.3.保密期限：                               </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5.1.4.泄密责任：  </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5.2.乙方：</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5.2.1.保密内容（包括技术信息和经营信息）: </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5.2.2.涉密人员范围: </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5.2.3.保密期限：                               </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5.2.4.泄密责任： </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第六条 本合同的变更必须由双方协商一致，并以书面形式确定。</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第七条 双方确定以下列标准和方式对乙方的技术服务工作成果进行验收：</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1．乙方完成技术服务工作的形式：</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2．技术服务工作成果的验收标准：</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3．技术服务工作成果的验收方法：</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4．验收的时间和地点：</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第八条 履约保证金：</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甲乙双方签订合同后，乙方的投标保证金直接转为履约保证金，在本次招标项目通过正式验收并经采购方确认后五个工作日内无息退还。</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第九条 知识产权归属：</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1．在本合同有效期内，甲方利用乙方提交的技术服务工作成果所完成的新的技术成果，归甲方所有。</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2．在本合同有效期内，乙方利用甲方提供的技术资料和工作条件所完成的新的技术成果，归甲方所有。</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第十条 双方确定，除第十二条规定的不可抗力外，双方按以下约定承担各自的违约责任：</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1. 甲方无故逾期支付服务费的,甲方应按逾期付款总额每日万分之五向乙方支付违约金。</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2. 乙方逾期交付服务成果的，乙方应按本合同总金额的每日万分之五向甲方支付违约金。逾期超过约定日期10个工作日仍不能交付的，甲方可解除本合同。乙方因逾期交付或因其他违约行为导致甲方解除合同的，乙方应向甲方退还已收到的技术服务费，并向甲方支付本合同总金额5%的违约金，如造成甲方损失超过违约金的，超出部分由乙方继续承担赔偿责任。 </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3. 乙方供给甲方的设备、材料及乙方自己的施工用具，进入甲方现场后的保管，由乙方负责，乙方在甲方现场安装、调试、验收人员的安全、保险、食宿和交通由乙方全权负责。</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4. 如乙方的技术服务成果第一次不能通过验收，乙方可在规定时间内重新提供服务或者按照合同要求修改；如仍不能通过验收，甲方可单方解除合同，并要求乙方退还已收到的技术服务费，且乙方还应向甲方支付合同总额10%的违约金作为赔偿。</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5. 本合同项下所有技术服务的内容，均由乙方单独承担，不得分包或者转包给其他单位或个人，否则，甲方有权单方解除合同，并要求乙方退还已收到的技术服务费，且乙方还应向甲方支付合同总额10%的违约金作为赔偿。</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6. 乙方履行义务不符合合同约定，甲方有权扣减本合同总金额10%的技术服务费，尾款不足10%的，乙方应当补足。</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第十一条 双方确定，在本合同有效期内，甲方指定      为甲方项目联系人，联系方式：           ；乙方指定      为乙方项目联系人，联系方式：           ；。</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一方变更项目联系人的，应当及时以书面形式通知另一方。未及时通知并影响本合同履行或造成损失的，应承担相应的责任。</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第十二条 不可抗力事件处理</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11.1 在合同有效期内，任何一方因战争、严重火灾、水灾、台风和地震以及其它经双方同意属于不可抗力的事故导致不能履行合同，则合同履行期可延长，其延长期与不可抗力影响期相同。</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11.2 不可抗力事件发生后，应立即通知对方，并寄送有关权威机构出具的证明。</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11.3 不可抗力事件延续30天以上，双方应通过友好协商，书面确定是否继续履行合同。</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第十三条 诉讼条款</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双方在执行合同中所发生的一切争议，应通过协商解决。如协商不成，向甲方所在地的人民法院提起诉讼。</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第十四条 合同生效及其它</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13.1 合同经双方法定代表人或授权委托代表人签字、盖章后生效。</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13.2 组成本合同的招投标文件包括：采购文件、乙方投标文件、中标通知书、甲乙双方商定的其他必要文件。招投标文件作为合同的附件，与本合同具有同等法律效力。</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13.3 本合同未尽事宜，遵照《合同法》有关条文执行。</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13.4 本合同正本一式陆份，中文书写。甲方伍份，乙方壹份，具有同等法律效力。</w:t>
      </w:r>
    </w:p>
    <w:p>
      <w:pPr>
        <w:jc w:val="both"/>
        <w:rPr>
          <w:rFonts w:asciiTheme="minorEastAsia" w:hAnsiTheme="minorEastAsia" w:eastAsiaTheme="minorEastAsia"/>
          <w:sz w:val="28"/>
          <w:szCs w:val="28"/>
        </w:rPr>
      </w:pP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甲方： 南京医科大学                   乙方： </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地址：江苏省南京市江宁区              地址：</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龙眠大道101号                          </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                法定代表人或授权代表：</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联系电话：                            联系电话：      </w:t>
      </w:r>
    </w:p>
    <w:p>
      <w:pPr>
        <w:spacing w:line="360" w:lineRule="auto"/>
        <w:ind w:firstLine="480" w:firstLineChars="200"/>
        <w:rPr>
          <w:rFonts w:ascii="楷体" w:hAnsi="楷体" w:eastAsia="楷体" w:cs="楷体"/>
          <w:bCs/>
          <w:sz w:val="24"/>
        </w:rPr>
      </w:pPr>
    </w:p>
    <w:p>
      <w:pPr>
        <w:pStyle w:val="10"/>
        <w:spacing w:before="120" w:after="120" w:line="300" w:lineRule="auto"/>
        <w:rPr>
          <w:rFonts w:asciiTheme="minorEastAsia" w:hAnsiTheme="minorEastAsia" w:eastAsiaTheme="minorEastAsia"/>
          <w:sz w:val="28"/>
          <w:szCs w:val="28"/>
        </w:rPr>
      </w:pPr>
    </w:p>
    <w:sectPr>
      <w:footerReference r:id="rId6" w:type="first"/>
      <w:headerReference r:id="rId3" w:type="default"/>
      <w:footerReference r:id="rId4" w:type="default"/>
      <w:footerReference r:id="rId5" w:type="even"/>
      <w:pgSz w:w="11906" w:h="16838"/>
      <w:pgMar w:top="1440" w:right="1526"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0"/>
        <w:rFonts w:ascii="宋体" w:hAnsi="宋体"/>
      </w:rPr>
    </w:pPr>
    <w:r>
      <w:rPr>
        <w:rFonts w:ascii="宋体" w:hAnsi="宋体"/>
      </w:rPr>
      <w:fldChar w:fldCharType="begin"/>
    </w:r>
    <w:r>
      <w:rPr>
        <w:rStyle w:val="20"/>
        <w:rFonts w:ascii="宋体" w:hAnsi="宋体"/>
      </w:rPr>
      <w:instrText xml:space="preserve">PAGE  </w:instrText>
    </w:r>
    <w:r>
      <w:rPr>
        <w:rFonts w:ascii="宋体" w:hAnsi="宋体"/>
      </w:rPr>
      <w:fldChar w:fldCharType="separate"/>
    </w:r>
    <w:r>
      <w:rPr>
        <w:rStyle w:val="20"/>
        <w:rFonts w:ascii="宋体" w:hAnsi="宋体"/>
      </w:rPr>
      <w:t>28</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0"/>
      </w:rPr>
    </w:pPr>
    <w:r>
      <w:fldChar w:fldCharType="begin"/>
    </w:r>
    <w:r>
      <w:rPr>
        <w:rStyle w:val="20"/>
      </w:rPr>
      <w:instrText xml:space="preserve">PAGE  </w:instrText>
    </w:r>
    <w:r>
      <w:fldChar w:fldCharType="separate"/>
    </w:r>
    <w:r>
      <w:rPr>
        <w:rStyle w:val="20"/>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DC4DA51"/>
    <w:multiLevelType w:val="singleLevel"/>
    <w:tmpl w:val="DDC4DA51"/>
    <w:lvl w:ilvl="0" w:tentative="0">
      <w:start w:val="3"/>
      <w:numFmt w:val="chineseCounting"/>
      <w:suff w:val="nothing"/>
      <w:lvlText w:val="（%1）"/>
      <w:lvlJc w:val="left"/>
      <w:rPr>
        <w:rFonts w:hint="eastAsia"/>
      </w:rPr>
    </w:lvl>
  </w:abstractNum>
  <w:abstractNum w:abstractNumId="1">
    <w:nsid w:val="5C7E0EE5"/>
    <w:multiLevelType w:val="multilevel"/>
    <w:tmpl w:val="5C7E0EE5"/>
    <w:lvl w:ilvl="0" w:tentative="0">
      <w:start w:val="1"/>
      <w:numFmt w:val="chineseCountingThousand"/>
      <w:pStyle w:val="32"/>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720"/>
  <w:characterSpacingControl w:val="doNotCompress"/>
  <w:compat>
    <w:useFELayout/>
    <w:compatSetting w:name="compatibilityMode" w:uri="http://schemas.microsoft.com/office/word" w:val="12"/>
  </w:compat>
  <w:rsids>
    <w:rsidRoot w:val="00D31D50"/>
    <w:rsid w:val="00014B69"/>
    <w:rsid w:val="00015BC9"/>
    <w:rsid w:val="00026CA5"/>
    <w:rsid w:val="000335D6"/>
    <w:rsid w:val="00045531"/>
    <w:rsid w:val="000458DB"/>
    <w:rsid w:val="00046D67"/>
    <w:rsid w:val="000508AB"/>
    <w:rsid w:val="00050D10"/>
    <w:rsid w:val="00053D2D"/>
    <w:rsid w:val="00053D8C"/>
    <w:rsid w:val="0005451A"/>
    <w:rsid w:val="00062EBC"/>
    <w:rsid w:val="00063E5E"/>
    <w:rsid w:val="00070968"/>
    <w:rsid w:val="00075408"/>
    <w:rsid w:val="00077718"/>
    <w:rsid w:val="0008466D"/>
    <w:rsid w:val="00086A59"/>
    <w:rsid w:val="00090C36"/>
    <w:rsid w:val="00092136"/>
    <w:rsid w:val="0009546A"/>
    <w:rsid w:val="00096EB7"/>
    <w:rsid w:val="000A4EF6"/>
    <w:rsid w:val="000B08EC"/>
    <w:rsid w:val="000B0E83"/>
    <w:rsid w:val="000B538B"/>
    <w:rsid w:val="000C3635"/>
    <w:rsid w:val="000C6FE5"/>
    <w:rsid w:val="000C7C51"/>
    <w:rsid w:val="000D0163"/>
    <w:rsid w:val="000E501B"/>
    <w:rsid w:val="000E7086"/>
    <w:rsid w:val="000F4CEA"/>
    <w:rsid w:val="000F6F8F"/>
    <w:rsid w:val="00100D01"/>
    <w:rsid w:val="00101A8A"/>
    <w:rsid w:val="0012092A"/>
    <w:rsid w:val="001225B3"/>
    <w:rsid w:val="00124A3C"/>
    <w:rsid w:val="00125C10"/>
    <w:rsid w:val="00130328"/>
    <w:rsid w:val="00137666"/>
    <w:rsid w:val="00141840"/>
    <w:rsid w:val="001424D3"/>
    <w:rsid w:val="0016026B"/>
    <w:rsid w:val="00160A9B"/>
    <w:rsid w:val="001647DF"/>
    <w:rsid w:val="00165E37"/>
    <w:rsid w:val="00166953"/>
    <w:rsid w:val="001674B0"/>
    <w:rsid w:val="00167738"/>
    <w:rsid w:val="00170D4A"/>
    <w:rsid w:val="0018443B"/>
    <w:rsid w:val="00193521"/>
    <w:rsid w:val="001A049C"/>
    <w:rsid w:val="001B679C"/>
    <w:rsid w:val="001B6A78"/>
    <w:rsid w:val="001C20DD"/>
    <w:rsid w:val="001C2E89"/>
    <w:rsid w:val="001C4B26"/>
    <w:rsid w:val="001C64AC"/>
    <w:rsid w:val="001D0768"/>
    <w:rsid w:val="001D281C"/>
    <w:rsid w:val="001D477F"/>
    <w:rsid w:val="001D5A6A"/>
    <w:rsid w:val="001E030A"/>
    <w:rsid w:val="001E1FD2"/>
    <w:rsid w:val="001E4020"/>
    <w:rsid w:val="001E5F10"/>
    <w:rsid w:val="001E73B5"/>
    <w:rsid w:val="001F340A"/>
    <w:rsid w:val="001F4F63"/>
    <w:rsid w:val="0020432E"/>
    <w:rsid w:val="00206503"/>
    <w:rsid w:val="002070F5"/>
    <w:rsid w:val="00211026"/>
    <w:rsid w:val="00232127"/>
    <w:rsid w:val="002327D4"/>
    <w:rsid w:val="00244DA0"/>
    <w:rsid w:val="002453B7"/>
    <w:rsid w:val="0025535E"/>
    <w:rsid w:val="00266C11"/>
    <w:rsid w:val="00272CB4"/>
    <w:rsid w:val="00295368"/>
    <w:rsid w:val="0029740A"/>
    <w:rsid w:val="002A4DD3"/>
    <w:rsid w:val="002D2055"/>
    <w:rsid w:val="002E0FA7"/>
    <w:rsid w:val="002E598A"/>
    <w:rsid w:val="002F20E4"/>
    <w:rsid w:val="002F225B"/>
    <w:rsid w:val="002F6027"/>
    <w:rsid w:val="00300F88"/>
    <w:rsid w:val="00304B4B"/>
    <w:rsid w:val="00306735"/>
    <w:rsid w:val="0031681A"/>
    <w:rsid w:val="00323B43"/>
    <w:rsid w:val="0032616D"/>
    <w:rsid w:val="00327947"/>
    <w:rsid w:val="00332602"/>
    <w:rsid w:val="00332D56"/>
    <w:rsid w:val="0033482F"/>
    <w:rsid w:val="00336542"/>
    <w:rsid w:val="00341D73"/>
    <w:rsid w:val="00343344"/>
    <w:rsid w:val="00344696"/>
    <w:rsid w:val="00346E25"/>
    <w:rsid w:val="003525A5"/>
    <w:rsid w:val="003538BE"/>
    <w:rsid w:val="0036460C"/>
    <w:rsid w:val="00365285"/>
    <w:rsid w:val="0037490B"/>
    <w:rsid w:val="0038270D"/>
    <w:rsid w:val="00397BA9"/>
    <w:rsid w:val="003B1427"/>
    <w:rsid w:val="003B2DF7"/>
    <w:rsid w:val="003B3CF8"/>
    <w:rsid w:val="003C4103"/>
    <w:rsid w:val="003C7177"/>
    <w:rsid w:val="003D0023"/>
    <w:rsid w:val="003D2715"/>
    <w:rsid w:val="003D37D8"/>
    <w:rsid w:val="003D3DB6"/>
    <w:rsid w:val="003E2F0D"/>
    <w:rsid w:val="003F3546"/>
    <w:rsid w:val="003F6A3E"/>
    <w:rsid w:val="003F7CC8"/>
    <w:rsid w:val="00404C89"/>
    <w:rsid w:val="00411C53"/>
    <w:rsid w:val="00412566"/>
    <w:rsid w:val="00413A13"/>
    <w:rsid w:val="00414074"/>
    <w:rsid w:val="00421D40"/>
    <w:rsid w:val="00426133"/>
    <w:rsid w:val="00431F8A"/>
    <w:rsid w:val="004358AB"/>
    <w:rsid w:val="0043654C"/>
    <w:rsid w:val="004416FF"/>
    <w:rsid w:val="00442EE3"/>
    <w:rsid w:val="00443D5F"/>
    <w:rsid w:val="004459E6"/>
    <w:rsid w:val="0044705E"/>
    <w:rsid w:val="00451E2F"/>
    <w:rsid w:val="00477C2E"/>
    <w:rsid w:val="004808C6"/>
    <w:rsid w:val="004A4F2D"/>
    <w:rsid w:val="004D01B7"/>
    <w:rsid w:val="004D4A10"/>
    <w:rsid w:val="004E0EEC"/>
    <w:rsid w:val="004E3402"/>
    <w:rsid w:val="004F2464"/>
    <w:rsid w:val="004F54A0"/>
    <w:rsid w:val="004F5C9E"/>
    <w:rsid w:val="004F6DEC"/>
    <w:rsid w:val="004F7103"/>
    <w:rsid w:val="00502136"/>
    <w:rsid w:val="005129DB"/>
    <w:rsid w:val="00522A2E"/>
    <w:rsid w:val="00523B5F"/>
    <w:rsid w:val="005253AD"/>
    <w:rsid w:val="00532F1E"/>
    <w:rsid w:val="00541E69"/>
    <w:rsid w:val="00547E5B"/>
    <w:rsid w:val="00557F99"/>
    <w:rsid w:val="0057236C"/>
    <w:rsid w:val="0057580C"/>
    <w:rsid w:val="00575FC2"/>
    <w:rsid w:val="0058115B"/>
    <w:rsid w:val="00582807"/>
    <w:rsid w:val="00582977"/>
    <w:rsid w:val="005866DD"/>
    <w:rsid w:val="00590D7C"/>
    <w:rsid w:val="0059317B"/>
    <w:rsid w:val="00596F67"/>
    <w:rsid w:val="005A3A50"/>
    <w:rsid w:val="005B00B9"/>
    <w:rsid w:val="005B1985"/>
    <w:rsid w:val="005B44B4"/>
    <w:rsid w:val="005C005E"/>
    <w:rsid w:val="005C66D3"/>
    <w:rsid w:val="005D2E1F"/>
    <w:rsid w:val="005F103C"/>
    <w:rsid w:val="00601FB9"/>
    <w:rsid w:val="0060453F"/>
    <w:rsid w:val="006045FD"/>
    <w:rsid w:val="006073C6"/>
    <w:rsid w:val="006160DD"/>
    <w:rsid w:val="006218B4"/>
    <w:rsid w:val="006411FE"/>
    <w:rsid w:val="006600C0"/>
    <w:rsid w:val="00663D89"/>
    <w:rsid w:val="00681F07"/>
    <w:rsid w:val="00692BCF"/>
    <w:rsid w:val="00695BF8"/>
    <w:rsid w:val="006977C3"/>
    <w:rsid w:val="006A096A"/>
    <w:rsid w:val="006B0EB6"/>
    <w:rsid w:val="006B4013"/>
    <w:rsid w:val="006B6C40"/>
    <w:rsid w:val="006C6B1D"/>
    <w:rsid w:val="006D1B0D"/>
    <w:rsid w:val="006E1848"/>
    <w:rsid w:val="006E7A99"/>
    <w:rsid w:val="006F283A"/>
    <w:rsid w:val="00705F93"/>
    <w:rsid w:val="00710E53"/>
    <w:rsid w:val="0071106B"/>
    <w:rsid w:val="00711F9D"/>
    <w:rsid w:val="007178CD"/>
    <w:rsid w:val="00722B49"/>
    <w:rsid w:val="00725153"/>
    <w:rsid w:val="00726D9C"/>
    <w:rsid w:val="00731E48"/>
    <w:rsid w:val="00740F2F"/>
    <w:rsid w:val="0074740B"/>
    <w:rsid w:val="00747556"/>
    <w:rsid w:val="007543D9"/>
    <w:rsid w:val="00754FBF"/>
    <w:rsid w:val="00755373"/>
    <w:rsid w:val="00762EB8"/>
    <w:rsid w:val="007730F5"/>
    <w:rsid w:val="00791FC9"/>
    <w:rsid w:val="00792482"/>
    <w:rsid w:val="0079316D"/>
    <w:rsid w:val="007944EA"/>
    <w:rsid w:val="007947E9"/>
    <w:rsid w:val="007A58F8"/>
    <w:rsid w:val="007B3D32"/>
    <w:rsid w:val="007E0F09"/>
    <w:rsid w:val="007E2F52"/>
    <w:rsid w:val="007E466E"/>
    <w:rsid w:val="007E5C50"/>
    <w:rsid w:val="007E7839"/>
    <w:rsid w:val="007F1718"/>
    <w:rsid w:val="007F18E6"/>
    <w:rsid w:val="007F226B"/>
    <w:rsid w:val="007F41F0"/>
    <w:rsid w:val="007F64AB"/>
    <w:rsid w:val="00801146"/>
    <w:rsid w:val="008266D1"/>
    <w:rsid w:val="008324FE"/>
    <w:rsid w:val="0083334C"/>
    <w:rsid w:val="00833AE1"/>
    <w:rsid w:val="00834323"/>
    <w:rsid w:val="00841379"/>
    <w:rsid w:val="0085068C"/>
    <w:rsid w:val="00853556"/>
    <w:rsid w:val="008545FA"/>
    <w:rsid w:val="00863149"/>
    <w:rsid w:val="00881E8B"/>
    <w:rsid w:val="00891674"/>
    <w:rsid w:val="008940B1"/>
    <w:rsid w:val="008944FE"/>
    <w:rsid w:val="008A576A"/>
    <w:rsid w:val="008B0B7A"/>
    <w:rsid w:val="008B154E"/>
    <w:rsid w:val="008B7726"/>
    <w:rsid w:val="008C634F"/>
    <w:rsid w:val="008E0843"/>
    <w:rsid w:val="008E6860"/>
    <w:rsid w:val="008F3684"/>
    <w:rsid w:val="008F5952"/>
    <w:rsid w:val="008F6FC4"/>
    <w:rsid w:val="008F7663"/>
    <w:rsid w:val="00901E4A"/>
    <w:rsid w:val="009124F7"/>
    <w:rsid w:val="00913A47"/>
    <w:rsid w:val="00914B43"/>
    <w:rsid w:val="00917C9A"/>
    <w:rsid w:val="00922C31"/>
    <w:rsid w:val="0093235D"/>
    <w:rsid w:val="009326F0"/>
    <w:rsid w:val="009330FF"/>
    <w:rsid w:val="00937A6C"/>
    <w:rsid w:val="00944F3E"/>
    <w:rsid w:val="00953E8C"/>
    <w:rsid w:val="00954E6B"/>
    <w:rsid w:val="009569A2"/>
    <w:rsid w:val="009658D9"/>
    <w:rsid w:val="00982CE2"/>
    <w:rsid w:val="00985BBC"/>
    <w:rsid w:val="00994DC6"/>
    <w:rsid w:val="0099642C"/>
    <w:rsid w:val="009A7A76"/>
    <w:rsid w:val="009B386E"/>
    <w:rsid w:val="009B43A1"/>
    <w:rsid w:val="009B4528"/>
    <w:rsid w:val="009B498C"/>
    <w:rsid w:val="009C30A7"/>
    <w:rsid w:val="009C69CD"/>
    <w:rsid w:val="009D140B"/>
    <w:rsid w:val="009D218A"/>
    <w:rsid w:val="009D6181"/>
    <w:rsid w:val="009E1102"/>
    <w:rsid w:val="009E4FC4"/>
    <w:rsid w:val="009E5457"/>
    <w:rsid w:val="009E5541"/>
    <w:rsid w:val="009F148D"/>
    <w:rsid w:val="009F2B90"/>
    <w:rsid w:val="009F453D"/>
    <w:rsid w:val="00A02CA7"/>
    <w:rsid w:val="00A157F0"/>
    <w:rsid w:val="00A25E57"/>
    <w:rsid w:val="00A359B0"/>
    <w:rsid w:val="00A4464F"/>
    <w:rsid w:val="00A46E8D"/>
    <w:rsid w:val="00A478D2"/>
    <w:rsid w:val="00A51E9F"/>
    <w:rsid w:val="00A536D3"/>
    <w:rsid w:val="00A567CF"/>
    <w:rsid w:val="00A67624"/>
    <w:rsid w:val="00A719C8"/>
    <w:rsid w:val="00A754E0"/>
    <w:rsid w:val="00A84971"/>
    <w:rsid w:val="00A960CD"/>
    <w:rsid w:val="00AA10B3"/>
    <w:rsid w:val="00AA278C"/>
    <w:rsid w:val="00AA5D15"/>
    <w:rsid w:val="00AB3CFF"/>
    <w:rsid w:val="00AC2325"/>
    <w:rsid w:val="00AC3CE4"/>
    <w:rsid w:val="00AD713B"/>
    <w:rsid w:val="00AE5082"/>
    <w:rsid w:val="00AE6332"/>
    <w:rsid w:val="00AF0E8F"/>
    <w:rsid w:val="00AF3ACC"/>
    <w:rsid w:val="00AF539E"/>
    <w:rsid w:val="00B06748"/>
    <w:rsid w:val="00B10D4E"/>
    <w:rsid w:val="00B14B96"/>
    <w:rsid w:val="00B300AE"/>
    <w:rsid w:val="00B312ED"/>
    <w:rsid w:val="00B32830"/>
    <w:rsid w:val="00B33A83"/>
    <w:rsid w:val="00B42425"/>
    <w:rsid w:val="00B445BC"/>
    <w:rsid w:val="00B47081"/>
    <w:rsid w:val="00B4709A"/>
    <w:rsid w:val="00B47424"/>
    <w:rsid w:val="00B517FD"/>
    <w:rsid w:val="00B531AF"/>
    <w:rsid w:val="00B54479"/>
    <w:rsid w:val="00B65818"/>
    <w:rsid w:val="00B70A98"/>
    <w:rsid w:val="00B7298F"/>
    <w:rsid w:val="00B746B8"/>
    <w:rsid w:val="00B767A7"/>
    <w:rsid w:val="00B93218"/>
    <w:rsid w:val="00B9381E"/>
    <w:rsid w:val="00B93B01"/>
    <w:rsid w:val="00B9568F"/>
    <w:rsid w:val="00B97749"/>
    <w:rsid w:val="00B97E23"/>
    <w:rsid w:val="00BA78DC"/>
    <w:rsid w:val="00BB2734"/>
    <w:rsid w:val="00BB3582"/>
    <w:rsid w:val="00BC5C79"/>
    <w:rsid w:val="00BC7A5C"/>
    <w:rsid w:val="00BD02B4"/>
    <w:rsid w:val="00BD2AED"/>
    <w:rsid w:val="00BD422E"/>
    <w:rsid w:val="00BD6A49"/>
    <w:rsid w:val="00BD6FBD"/>
    <w:rsid w:val="00BD77ED"/>
    <w:rsid w:val="00BE7284"/>
    <w:rsid w:val="00BF1A35"/>
    <w:rsid w:val="00BF201B"/>
    <w:rsid w:val="00BF26DD"/>
    <w:rsid w:val="00BF363B"/>
    <w:rsid w:val="00BF3F02"/>
    <w:rsid w:val="00BF3F2A"/>
    <w:rsid w:val="00BF688E"/>
    <w:rsid w:val="00BF6B18"/>
    <w:rsid w:val="00C00BC7"/>
    <w:rsid w:val="00C04748"/>
    <w:rsid w:val="00C12969"/>
    <w:rsid w:val="00C13584"/>
    <w:rsid w:val="00C14A01"/>
    <w:rsid w:val="00C1690A"/>
    <w:rsid w:val="00C30C20"/>
    <w:rsid w:val="00C370CA"/>
    <w:rsid w:val="00C40E65"/>
    <w:rsid w:val="00C43A01"/>
    <w:rsid w:val="00C541CB"/>
    <w:rsid w:val="00C55166"/>
    <w:rsid w:val="00C714F0"/>
    <w:rsid w:val="00C76558"/>
    <w:rsid w:val="00C86FD4"/>
    <w:rsid w:val="00C96654"/>
    <w:rsid w:val="00CB2130"/>
    <w:rsid w:val="00CB3C11"/>
    <w:rsid w:val="00CB511C"/>
    <w:rsid w:val="00CD4D83"/>
    <w:rsid w:val="00CE18E8"/>
    <w:rsid w:val="00D126C6"/>
    <w:rsid w:val="00D1587C"/>
    <w:rsid w:val="00D21A6E"/>
    <w:rsid w:val="00D278D7"/>
    <w:rsid w:val="00D279B0"/>
    <w:rsid w:val="00D31D50"/>
    <w:rsid w:val="00D323F9"/>
    <w:rsid w:val="00D4211D"/>
    <w:rsid w:val="00D44B37"/>
    <w:rsid w:val="00D5054E"/>
    <w:rsid w:val="00D53633"/>
    <w:rsid w:val="00D56CB6"/>
    <w:rsid w:val="00D61AE7"/>
    <w:rsid w:val="00D634CC"/>
    <w:rsid w:val="00D73065"/>
    <w:rsid w:val="00D77EC9"/>
    <w:rsid w:val="00D81D23"/>
    <w:rsid w:val="00D9005C"/>
    <w:rsid w:val="00DA1746"/>
    <w:rsid w:val="00DA3EB4"/>
    <w:rsid w:val="00DA4334"/>
    <w:rsid w:val="00DA76FE"/>
    <w:rsid w:val="00DB1721"/>
    <w:rsid w:val="00DB5FD8"/>
    <w:rsid w:val="00DC26C4"/>
    <w:rsid w:val="00DD6316"/>
    <w:rsid w:val="00DE05FA"/>
    <w:rsid w:val="00DE421A"/>
    <w:rsid w:val="00DF12D7"/>
    <w:rsid w:val="00DF16E1"/>
    <w:rsid w:val="00E011DE"/>
    <w:rsid w:val="00E02A5F"/>
    <w:rsid w:val="00E02D46"/>
    <w:rsid w:val="00E12D6B"/>
    <w:rsid w:val="00E14FB9"/>
    <w:rsid w:val="00E157E7"/>
    <w:rsid w:val="00E2347C"/>
    <w:rsid w:val="00E27FD1"/>
    <w:rsid w:val="00E31BD3"/>
    <w:rsid w:val="00E33A94"/>
    <w:rsid w:val="00E34600"/>
    <w:rsid w:val="00E36CB4"/>
    <w:rsid w:val="00E52BFB"/>
    <w:rsid w:val="00E537C7"/>
    <w:rsid w:val="00E53CF5"/>
    <w:rsid w:val="00E56996"/>
    <w:rsid w:val="00E57C17"/>
    <w:rsid w:val="00E75074"/>
    <w:rsid w:val="00E81B75"/>
    <w:rsid w:val="00E8447A"/>
    <w:rsid w:val="00E85DDD"/>
    <w:rsid w:val="00E95E13"/>
    <w:rsid w:val="00EA5C99"/>
    <w:rsid w:val="00EA62FB"/>
    <w:rsid w:val="00EA6CDE"/>
    <w:rsid w:val="00EB0C34"/>
    <w:rsid w:val="00EB187E"/>
    <w:rsid w:val="00EC3C23"/>
    <w:rsid w:val="00ED0853"/>
    <w:rsid w:val="00ED0F18"/>
    <w:rsid w:val="00EE2837"/>
    <w:rsid w:val="00EE4B82"/>
    <w:rsid w:val="00EE7046"/>
    <w:rsid w:val="00EF69B3"/>
    <w:rsid w:val="00F04061"/>
    <w:rsid w:val="00F07138"/>
    <w:rsid w:val="00F14151"/>
    <w:rsid w:val="00F152B0"/>
    <w:rsid w:val="00F212D3"/>
    <w:rsid w:val="00F27EE2"/>
    <w:rsid w:val="00F30A36"/>
    <w:rsid w:val="00F34B4A"/>
    <w:rsid w:val="00F34DF9"/>
    <w:rsid w:val="00F36EA1"/>
    <w:rsid w:val="00F4455E"/>
    <w:rsid w:val="00F5231B"/>
    <w:rsid w:val="00F60B40"/>
    <w:rsid w:val="00F64CC8"/>
    <w:rsid w:val="00F8761F"/>
    <w:rsid w:val="00F94053"/>
    <w:rsid w:val="00F94356"/>
    <w:rsid w:val="00F952C7"/>
    <w:rsid w:val="00F96BF5"/>
    <w:rsid w:val="00FA1FA5"/>
    <w:rsid w:val="00FA2E72"/>
    <w:rsid w:val="00FA4F5F"/>
    <w:rsid w:val="00FA7B45"/>
    <w:rsid w:val="00FB0011"/>
    <w:rsid w:val="00FB608D"/>
    <w:rsid w:val="00FC0456"/>
    <w:rsid w:val="00FC3104"/>
    <w:rsid w:val="00FD1D4C"/>
    <w:rsid w:val="00FF44F0"/>
    <w:rsid w:val="00FF7A26"/>
    <w:rsid w:val="01653378"/>
    <w:rsid w:val="04545839"/>
    <w:rsid w:val="04F3430C"/>
    <w:rsid w:val="06BA0B56"/>
    <w:rsid w:val="09C76800"/>
    <w:rsid w:val="0B4D26CA"/>
    <w:rsid w:val="0D7C3718"/>
    <w:rsid w:val="0EC60711"/>
    <w:rsid w:val="0EDC7635"/>
    <w:rsid w:val="115B563A"/>
    <w:rsid w:val="144E33AE"/>
    <w:rsid w:val="148510D6"/>
    <w:rsid w:val="16A17C91"/>
    <w:rsid w:val="193034DC"/>
    <w:rsid w:val="19A63854"/>
    <w:rsid w:val="1AC7098B"/>
    <w:rsid w:val="20C722ED"/>
    <w:rsid w:val="216113F4"/>
    <w:rsid w:val="224B6541"/>
    <w:rsid w:val="23711F72"/>
    <w:rsid w:val="25F955C5"/>
    <w:rsid w:val="27342A22"/>
    <w:rsid w:val="283F22EF"/>
    <w:rsid w:val="2A1B0980"/>
    <w:rsid w:val="2B9311E8"/>
    <w:rsid w:val="2C257666"/>
    <w:rsid w:val="2FC97C01"/>
    <w:rsid w:val="2FD04905"/>
    <w:rsid w:val="308F6267"/>
    <w:rsid w:val="31865542"/>
    <w:rsid w:val="321E2E3D"/>
    <w:rsid w:val="340376D1"/>
    <w:rsid w:val="34112F1E"/>
    <w:rsid w:val="36285839"/>
    <w:rsid w:val="376F7278"/>
    <w:rsid w:val="37B750D7"/>
    <w:rsid w:val="381E4D39"/>
    <w:rsid w:val="3AF92C81"/>
    <w:rsid w:val="425E014E"/>
    <w:rsid w:val="43990BAC"/>
    <w:rsid w:val="44E75DF0"/>
    <w:rsid w:val="46B375B8"/>
    <w:rsid w:val="47C44AC2"/>
    <w:rsid w:val="48342189"/>
    <w:rsid w:val="4CF162B1"/>
    <w:rsid w:val="4D3D0508"/>
    <w:rsid w:val="4DE91A88"/>
    <w:rsid w:val="4EF61824"/>
    <w:rsid w:val="50BD5FEE"/>
    <w:rsid w:val="50DB05A3"/>
    <w:rsid w:val="51431846"/>
    <w:rsid w:val="52934C19"/>
    <w:rsid w:val="55772440"/>
    <w:rsid w:val="55F97EE2"/>
    <w:rsid w:val="56EF7B40"/>
    <w:rsid w:val="5A6E4628"/>
    <w:rsid w:val="5C49212E"/>
    <w:rsid w:val="5CD849D1"/>
    <w:rsid w:val="5CDD41EC"/>
    <w:rsid w:val="5D140335"/>
    <w:rsid w:val="61006171"/>
    <w:rsid w:val="62CD3F75"/>
    <w:rsid w:val="637C4756"/>
    <w:rsid w:val="63A95F6C"/>
    <w:rsid w:val="65C879C1"/>
    <w:rsid w:val="66104FB2"/>
    <w:rsid w:val="6799719A"/>
    <w:rsid w:val="67B062B6"/>
    <w:rsid w:val="68CD1564"/>
    <w:rsid w:val="692B1946"/>
    <w:rsid w:val="6D617FD9"/>
    <w:rsid w:val="6F6D1C28"/>
    <w:rsid w:val="70FF55D7"/>
    <w:rsid w:val="74E53E85"/>
    <w:rsid w:val="7514148D"/>
    <w:rsid w:val="7612260D"/>
    <w:rsid w:val="77004100"/>
    <w:rsid w:val="77B16134"/>
    <w:rsid w:val="786603AF"/>
    <w:rsid w:val="7B782865"/>
    <w:rsid w:val="7E2E0BE1"/>
    <w:rsid w:val="7F8E0F4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nhideWhenUsed="0"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3">
    <w:name w:val="heading 1"/>
    <w:basedOn w:val="1"/>
    <w:next w:val="1"/>
    <w:link w:val="25"/>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4">
    <w:name w:val="heading 2"/>
    <w:basedOn w:val="1"/>
    <w:next w:val="1"/>
    <w:link w:val="39"/>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6"/>
    <w:link w:val="28"/>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2">
    <w:name w:val="heading 4"/>
    <w:basedOn w:val="1"/>
    <w:next w:val="1"/>
    <w:link w:val="29"/>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Layout w:type="fixed"/>
      <w:tblCellMar>
        <w:top w:w="0" w:type="dxa"/>
        <w:left w:w="108" w:type="dxa"/>
        <w:bottom w:w="0" w:type="dxa"/>
        <w:right w:w="108" w:type="dxa"/>
      </w:tblCellMar>
    </w:tblPr>
  </w:style>
  <w:style w:type="paragraph" w:styleId="6">
    <w:name w:val="Normal Indent"/>
    <w:basedOn w:val="1"/>
    <w:link w:val="34"/>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text"/>
    <w:basedOn w:val="1"/>
    <w:link w:val="46"/>
    <w:semiHidden/>
    <w:unhideWhenUsed/>
    <w:qFormat/>
    <w:uiPriority w:val="99"/>
  </w:style>
  <w:style w:type="paragraph" w:styleId="8">
    <w:name w:val="Body Text"/>
    <w:basedOn w:val="1"/>
    <w:link w:val="40"/>
    <w:qFormat/>
    <w:uiPriority w:val="0"/>
    <w:pPr>
      <w:widowControl w:val="0"/>
      <w:adjustRightInd/>
      <w:snapToGrid/>
      <w:spacing w:after="0"/>
      <w:jc w:val="both"/>
    </w:pPr>
    <w:rPr>
      <w:rFonts w:ascii="楷体_GB2312" w:hAnsi="Arial" w:eastAsia="楷体_GB2312"/>
      <w:kern w:val="2"/>
      <w:sz w:val="28"/>
      <w:szCs w:val="28"/>
    </w:rPr>
  </w:style>
  <w:style w:type="paragraph" w:styleId="9">
    <w:name w:val="index 4"/>
    <w:basedOn w:val="1"/>
    <w:next w:val="1"/>
    <w:qFormat/>
    <w:uiPriority w:val="99"/>
    <w:pPr>
      <w:ind w:left="600" w:leftChars="600"/>
    </w:pPr>
    <w:rPr>
      <w:rFonts w:ascii="Verdana" w:hAnsi="Verdana"/>
      <w:szCs w:val="20"/>
    </w:rPr>
  </w:style>
  <w:style w:type="paragraph" w:styleId="10">
    <w:name w:val="Plain Text"/>
    <w:basedOn w:val="1"/>
    <w:link w:val="37"/>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5"/>
    <w:semiHidden/>
    <w:unhideWhenUsed/>
    <w:qFormat/>
    <w:uiPriority w:val="99"/>
    <w:pPr>
      <w:spacing w:after="0"/>
    </w:pPr>
    <w:rPr>
      <w:sz w:val="18"/>
      <w:szCs w:val="18"/>
    </w:rPr>
  </w:style>
  <w:style w:type="paragraph" w:styleId="12">
    <w:name w:val="footer"/>
    <w:basedOn w:val="1"/>
    <w:link w:val="24"/>
    <w:unhideWhenUsed/>
    <w:qFormat/>
    <w:uiPriority w:val="99"/>
    <w:pPr>
      <w:tabs>
        <w:tab w:val="center" w:pos="4153"/>
        <w:tab w:val="right" w:pos="8306"/>
      </w:tabs>
    </w:pPr>
    <w:rPr>
      <w:sz w:val="18"/>
      <w:szCs w:val="18"/>
    </w:rPr>
  </w:style>
  <w:style w:type="paragraph" w:styleId="13">
    <w:name w:val="header"/>
    <w:basedOn w:val="1"/>
    <w:link w:val="23"/>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30"/>
    <w:qFormat/>
    <w:uiPriority w:val="0"/>
    <w:pPr>
      <w:widowControl w:val="0"/>
      <w:adjustRightInd/>
      <w:snapToGrid/>
      <w:spacing w:before="240" w:after="60"/>
      <w:jc w:val="center"/>
      <w:outlineLvl w:val="0"/>
    </w:pPr>
    <w:rPr>
      <w:rFonts w:ascii="Cambria" w:hAnsi="Cambria"/>
      <w:b/>
      <w:bCs/>
      <w:kern w:val="2"/>
      <w:sz w:val="32"/>
      <w:szCs w:val="32"/>
    </w:rPr>
  </w:style>
  <w:style w:type="paragraph" w:styleId="17">
    <w:name w:val="annotation subject"/>
    <w:basedOn w:val="7"/>
    <w:next w:val="7"/>
    <w:link w:val="47"/>
    <w:semiHidden/>
    <w:unhideWhenUsed/>
    <w:qFormat/>
    <w:uiPriority w:val="99"/>
    <w:rPr>
      <w:b/>
      <w:bCs/>
    </w:rPr>
  </w:style>
  <w:style w:type="character" w:styleId="20">
    <w:name w:val="page number"/>
    <w:basedOn w:val="19"/>
    <w:qFormat/>
    <w:uiPriority w:val="0"/>
  </w:style>
  <w:style w:type="character" w:styleId="21">
    <w:name w:val="Hyperlink"/>
    <w:qFormat/>
    <w:uiPriority w:val="99"/>
    <w:rPr>
      <w:color w:val="0000FF"/>
      <w:u w:val="single"/>
    </w:rPr>
  </w:style>
  <w:style w:type="character" w:styleId="22">
    <w:name w:val="annotation reference"/>
    <w:basedOn w:val="19"/>
    <w:semiHidden/>
    <w:unhideWhenUsed/>
    <w:qFormat/>
    <w:uiPriority w:val="99"/>
    <w:rPr>
      <w:sz w:val="21"/>
      <w:szCs w:val="21"/>
    </w:rPr>
  </w:style>
  <w:style w:type="character" w:customStyle="1" w:styleId="23">
    <w:name w:val="页眉 Char"/>
    <w:basedOn w:val="19"/>
    <w:link w:val="13"/>
    <w:qFormat/>
    <w:uiPriority w:val="99"/>
    <w:rPr>
      <w:rFonts w:ascii="Tahoma" w:hAnsi="Tahoma"/>
      <w:sz w:val="18"/>
      <w:szCs w:val="18"/>
    </w:rPr>
  </w:style>
  <w:style w:type="character" w:customStyle="1" w:styleId="24">
    <w:name w:val="页脚 Char"/>
    <w:basedOn w:val="19"/>
    <w:link w:val="12"/>
    <w:qFormat/>
    <w:uiPriority w:val="99"/>
    <w:rPr>
      <w:rFonts w:ascii="Tahoma" w:hAnsi="Tahoma"/>
      <w:sz w:val="18"/>
      <w:szCs w:val="18"/>
    </w:rPr>
  </w:style>
  <w:style w:type="character" w:customStyle="1" w:styleId="25">
    <w:name w:val="标题 1 Char"/>
    <w:basedOn w:val="19"/>
    <w:link w:val="3"/>
    <w:qFormat/>
    <w:uiPriority w:val="9"/>
    <w:rPr>
      <w:rFonts w:ascii="楷体_GB2312" w:hAnsi="Times New Roman" w:eastAsia="楷体_GB2312" w:cs="Times New Roman"/>
      <w:kern w:val="2"/>
      <w:sz w:val="28"/>
      <w:szCs w:val="28"/>
    </w:rPr>
  </w:style>
  <w:style w:type="paragraph" w:customStyle="1" w:styleId="26">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7">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8">
    <w:name w:val="标题 3 Char"/>
    <w:basedOn w:val="19"/>
    <w:link w:val="5"/>
    <w:qFormat/>
    <w:uiPriority w:val="0"/>
    <w:rPr>
      <w:rFonts w:ascii="Times New Roman" w:hAnsi="Times New Roman" w:eastAsia="宋体" w:cs="Times New Roman"/>
      <w:b/>
      <w:bCs/>
      <w:kern w:val="2"/>
      <w:sz w:val="32"/>
      <w:szCs w:val="32"/>
    </w:rPr>
  </w:style>
  <w:style w:type="character" w:customStyle="1" w:styleId="29">
    <w:name w:val="标题 4 Char"/>
    <w:basedOn w:val="19"/>
    <w:link w:val="2"/>
    <w:qFormat/>
    <w:uiPriority w:val="9"/>
    <w:rPr>
      <w:rFonts w:ascii="Arial" w:hAnsi="Arial" w:eastAsia="黑体" w:cs="Arial"/>
      <w:b/>
      <w:bCs/>
      <w:kern w:val="2"/>
      <w:sz w:val="28"/>
      <w:szCs w:val="28"/>
    </w:rPr>
  </w:style>
  <w:style w:type="character" w:customStyle="1" w:styleId="30">
    <w:name w:val="标题 Char1"/>
    <w:basedOn w:val="19"/>
    <w:link w:val="16"/>
    <w:qFormat/>
    <w:uiPriority w:val="0"/>
    <w:rPr>
      <w:rFonts w:ascii="Cambria" w:hAnsi="Cambria"/>
      <w:b/>
      <w:bCs/>
      <w:kern w:val="2"/>
      <w:sz w:val="32"/>
      <w:szCs w:val="32"/>
    </w:rPr>
  </w:style>
  <w:style w:type="character" w:customStyle="1" w:styleId="31">
    <w:name w:val="标题二 Char"/>
    <w:link w:val="32"/>
    <w:qFormat/>
    <w:uiPriority w:val="0"/>
    <w:rPr>
      <w:rFonts w:ascii="宋体" w:hAnsi="宋体" w:cs="Calibri"/>
      <w:b/>
      <w:color w:val="000000"/>
      <w:kern w:val="1"/>
      <w:sz w:val="28"/>
      <w:szCs w:val="28"/>
    </w:rPr>
  </w:style>
  <w:style w:type="paragraph" w:customStyle="1" w:styleId="32">
    <w:name w:val="标题二"/>
    <w:basedOn w:val="33"/>
    <w:link w:val="31"/>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3">
    <w:name w:val="List Paragraph"/>
    <w:basedOn w:val="1"/>
    <w:qFormat/>
    <w:uiPriority w:val="34"/>
    <w:pPr>
      <w:ind w:firstLine="420" w:firstLineChars="200"/>
    </w:pPr>
  </w:style>
  <w:style w:type="character" w:customStyle="1" w:styleId="34">
    <w:name w:val="正文缩进 Char"/>
    <w:link w:val="6"/>
    <w:qFormat/>
    <w:uiPriority w:val="0"/>
    <w:rPr>
      <w:kern w:val="2"/>
      <w:sz w:val="21"/>
      <w:szCs w:val="21"/>
    </w:rPr>
  </w:style>
  <w:style w:type="character" w:customStyle="1" w:styleId="35">
    <w:name w:val="标题 Char"/>
    <w:basedOn w:val="19"/>
    <w:qFormat/>
    <w:uiPriority w:val="10"/>
    <w:rPr>
      <w:rFonts w:eastAsia="宋体" w:asciiTheme="majorHAnsi" w:hAnsiTheme="majorHAnsi" w:cstheme="majorBidi"/>
      <w:b/>
      <w:bCs/>
      <w:sz w:val="32"/>
      <w:szCs w:val="32"/>
    </w:rPr>
  </w:style>
  <w:style w:type="character" w:customStyle="1" w:styleId="36">
    <w:name w:val="font1"/>
    <w:qFormat/>
    <w:uiPriority w:val="0"/>
    <w:rPr>
      <w:color w:val="333333"/>
      <w:spacing w:val="450"/>
      <w:sz w:val="18"/>
      <w:szCs w:val="18"/>
      <w:u w:val="none"/>
    </w:rPr>
  </w:style>
  <w:style w:type="character" w:customStyle="1" w:styleId="37">
    <w:name w:val="纯文本 Char"/>
    <w:link w:val="10"/>
    <w:qFormat/>
    <w:uiPriority w:val="0"/>
    <w:rPr>
      <w:rFonts w:ascii="宋体" w:hAnsi="Courier New" w:cs="Courier New"/>
      <w:kern w:val="2"/>
      <w:sz w:val="21"/>
      <w:szCs w:val="21"/>
    </w:rPr>
  </w:style>
  <w:style w:type="character" w:customStyle="1" w:styleId="38">
    <w:name w:val="纯文本 Char1"/>
    <w:basedOn w:val="19"/>
    <w:semiHidden/>
    <w:qFormat/>
    <w:uiPriority w:val="99"/>
    <w:rPr>
      <w:rFonts w:ascii="宋体" w:hAnsi="Courier New" w:eastAsia="宋体" w:cs="Courier New"/>
      <w:sz w:val="21"/>
      <w:szCs w:val="21"/>
    </w:rPr>
  </w:style>
  <w:style w:type="character" w:customStyle="1" w:styleId="39">
    <w:name w:val="标题 2 Char"/>
    <w:basedOn w:val="19"/>
    <w:link w:val="4"/>
    <w:semiHidden/>
    <w:qFormat/>
    <w:uiPriority w:val="9"/>
    <w:rPr>
      <w:rFonts w:asciiTheme="majorHAnsi" w:hAnsiTheme="majorHAnsi" w:eastAsiaTheme="majorEastAsia" w:cstheme="majorBidi"/>
      <w:b/>
      <w:bCs/>
      <w:sz w:val="32"/>
      <w:szCs w:val="32"/>
    </w:rPr>
  </w:style>
  <w:style w:type="character" w:customStyle="1" w:styleId="40">
    <w:name w:val="正文文本 Char"/>
    <w:link w:val="8"/>
    <w:qFormat/>
    <w:uiPriority w:val="0"/>
    <w:rPr>
      <w:rFonts w:ascii="楷体_GB2312" w:hAnsi="Arial" w:eastAsia="楷体_GB2312"/>
      <w:kern w:val="2"/>
      <w:sz w:val="28"/>
      <w:szCs w:val="28"/>
    </w:rPr>
  </w:style>
  <w:style w:type="character" w:customStyle="1" w:styleId="41">
    <w:name w:val="列出段落 Char"/>
    <w:link w:val="42"/>
    <w:qFormat/>
    <w:locked/>
    <w:uiPriority w:val="34"/>
    <w:rPr>
      <w:rFonts w:ascii="Calibri" w:hAnsi="Calibri"/>
      <w:sz w:val="24"/>
      <w:szCs w:val="24"/>
      <w:lang w:eastAsia="en-US" w:bidi="en-US"/>
    </w:rPr>
  </w:style>
  <w:style w:type="paragraph" w:customStyle="1" w:styleId="42">
    <w:name w:val="列出段落11"/>
    <w:basedOn w:val="1"/>
    <w:link w:val="41"/>
    <w:qFormat/>
    <w:uiPriority w:val="34"/>
    <w:pPr>
      <w:adjustRightInd/>
      <w:snapToGrid/>
      <w:spacing w:after="0"/>
      <w:ind w:left="720"/>
      <w:contextualSpacing/>
    </w:pPr>
    <w:rPr>
      <w:rFonts w:ascii="Calibri" w:hAnsi="Calibri"/>
      <w:sz w:val="24"/>
      <w:szCs w:val="24"/>
      <w:lang w:eastAsia="en-US" w:bidi="en-US"/>
    </w:rPr>
  </w:style>
  <w:style w:type="paragraph" w:customStyle="1" w:styleId="43">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4">
    <w:name w:val="正文文本 Char1"/>
    <w:basedOn w:val="19"/>
    <w:semiHidden/>
    <w:qFormat/>
    <w:uiPriority w:val="99"/>
    <w:rPr>
      <w:rFonts w:ascii="Tahoma" w:hAnsi="Tahoma"/>
    </w:rPr>
  </w:style>
  <w:style w:type="character" w:customStyle="1" w:styleId="45">
    <w:name w:val="批注框文本 Char"/>
    <w:basedOn w:val="19"/>
    <w:link w:val="11"/>
    <w:semiHidden/>
    <w:qFormat/>
    <w:uiPriority w:val="99"/>
    <w:rPr>
      <w:rFonts w:ascii="Tahoma" w:hAnsi="Tahoma"/>
      <w:sz w:val="18"/>
      <w:szCs w:val="18"/>
    </w:rPr>
  </w:style>
  <w:style w:type="character" w:customStyle="1" w:styleId="46">
    <w:name w:val="批注文字 Char"/>
    <w:basedOn w:val="19"/>
    <w:link w:val="7"/>
    <w:semiHidden/>
    <w:qFormat/>
    <w:uiPriority w:val="99"/>
    <w:rPr>
      <w:rFonts w:ascii="Tahoma" w:hAnsi="Tahoma"/>
    </w:rPr>
  </w:style>
  <w:style w:type="character" w:customStyle="1" w:styleId="47">
    <w:name w:val="批注主题 Char"/>
    <w:basedOn w:val="46"/>
    <w:link w:val="17"/>
    <w:semiHidden/>
    <w:qFormat/>
    <w:uiPriority w:val="99"/>
    <w:rPr>
      <w:rFonts w:ascii="Tahoma" w:hAnsi="Tahoma"/>
      <w:b/>
      <w:bCs/>
    </w:rPr>
  </w:style>
  <w:style w:type="paragraph" w:customStyle="1" w:styleId="48">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85FBC3-2CC5-4D93-B7D5-A38A2B5C08CC}">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41</Pages>
  <Words>2628</Words>
  <Characters>14986</Characters>
  <Lines>124</Lines>
  <Paragraphs>35</Paragraphs>
  <TotalTime>8</TotalTime>
  <ScaleCrop>false</ScaleCrop>
  <LinksUpToDate>false</LinksUpToDate>
  <CharactersWithSpaces>17579</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2019-07-04T06:17:00Z</dcterms:created>
  <dc:creator>chenle</dc:creator>
  <cp:lastModifiedBy>lenovo</cp:lastModifiedBy>
  <dcterms:modified xsi:type="dcterms:W3CDTF">2019-07-09T06:22:38Z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