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三工位无机材料高真空蒸发镀膜设备购置项目</w:t>
      </w:r>
    </w:p>
    <w:p>
      <w:pPr>
        <w:pStyle w:val="26"/>
        <w:ind w:firstLine="0"/>
        <w:jc w:val="center"/>
        <w:rPr>
          <w:b/>
          <w:bCs/>
          <w:sz w:val="32"/>
        </w:rPr>
      </w:pPr>
      <w:r>
        <w:rPr>
          <w:rFonts w:hint="eastAsia"/>
          <w:b/>
          <w:bCs/>
          <w:sz w:val="32"/>
        </w:rPr>
        <w:t>项目编号：</w:t>
      </w:r>
      <w:r>
        <w:rPr>
          <w:rFonts w:hint="eastAsia"/>
          <w:b/>
          <w:bCs/>
          <w:sz w:val="32"/>
          <w:highlight w:val="none"/>
        </w:rPr>
        <w:t>NJMUZB3012019028</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16938516"/>
      <w:bookmarkStart w:id="5" w:name="_Toc479757206"/>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rPr>
          <w:sz w:val="24"/>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120614211"/>
      <w:bookmarkStart w:id="9" w:name="OLE_LINK1"/>
      <w:bookmarkStart w:id="10" w:name="_Toc513029242"/>
      <w:bookmarkStart w:id="11" w:name="_Toc120614221"/>
      <w:bookmarkStart w:id="12" w:name="_Toc444669970"/>
      <w:bookmarkStart w:id="13" w:name="_Toc479757207"/>
      <w:bookmarkStart w:id="14" w:name="OLE_LINK2"/>
      <w:bookmarkStart w:id="15" w:name="_Toc20823314"/>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三工位无机材料高真空蒸发镀膜</w:t>
      </w:r>
      <w:r>
        <w:rPr>
          <w:rFonts w:hint="eastAsia" w:asciiTheme="minorEastAsia" w:hAnsiTheme="minorEastAsia" w:eastAsiaTheme="minorEastAsia"/>
          <w:sz w:val="28"/>
          <w:szCs w:val="28"/>
          <w:u w:val="single"/>
          <w:lang w:eastAsia="zh-CN"/>
        </w:rPr>
        <w:t>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三工位无机材料高真空蒸发镀膜设备购置项目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NJMUZB3012019028</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 xml:space="preserve">     </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19.5</w:t>
      </w:r>
      <w:r>
        <w:rPr>
          <w:rFonts w:hint="eastAsia" w:asciiTheme="minorEastAsia" w:hAnsiTheme="minorEastAsia" w:eastAsiaTheme="minorEastAsia"/>
          <w:sz w:val="28"/>
          <w:szCs w:val="28"/>
        </w:rPr>
        <w:t>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w:t>
      </w:r>
      <w:r>
        <w:rPr>
          <w:rFonts w:hint="eastAsia" w:cs="宋体" w:asciiTheme="minorEastAsia" w:hAnsiTheme="minorEastAsia" w:eastAsiaTheme="minorEastAsia"/>
          <w:sz w:val="28"/>
          <w:szCs w:val="28"/>
          <w:lang w:val="en-US" w:eastAsia="zh-CN"/>
        </w:rPr>
        <w:t>7</w:t>
      </w:r>
      <w:r>
        <w:rPr>
          <w:rFonts w:hint="eastAsia" w:cs="宋体" w:asciiTheme="minorEastAsia" w:hAnsiTheme="minorEastAsia" w:eastAsiaTheme="minorEastAsia"/>
          <w:sz w:val="28"/>
          <w:szCs w:val="28"/>
        </w:rPr>
        <w:t>或201</w:t>
      </w:r>
      <w:r>
        <w:rPr>
          <w:rFonts w:hint="eastAsia" w:cs="宋体" w:asciiTheme="minorEastAsia" w:hAnsiTheme="minorEastAsia" w:eastAsiaTheme="minorEastAsia"/>
          <w:sz w:val="28"/>
          <w:szCs w:val="28"/>
          <w:lang w:val="en-US" w:eastAsia="zh-CN"/>
        </w:rPr>
        <w:t>8</w:t>
      </w:r>
      <w:r>
        <w:rPr>
          <w:rFonts w:hint="eastAsia" w:cs="宋体" w:asciiTheme="minorEastAsia" w:hAnsiTheme="minorEastAsia" w:eastAsiaTheme="minorEastAsia"/>
          <w:sz w:val="28"/>
          <w:szCs w:val="28"/>
        </w:rPr>
        <w:t>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（二）其他资格要求：</w:t>
      </w:r>
      <w:r>
        <w:rPr>
          <w:rFonts w:hint="eastAsia" w:asciiTheme="minorEastAsia" w:hAnsiTheme="minorEastAsia" w:eastAsiaTheme="minorEastAsia"/>
          <w:sz w:val="28"/>
          <w:szCs w:val="28"/>
          <w:lang w:eastAsia="zh-CN"/>
        </w:rPr>
        <w:t>无</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w:t>
      </w:r>
      <w:r>
        <w:rPr>
          <w:rFonts w:asciiTheme="minorEastAsia" w:hAnsiTheme="minorEastAsia" w:eastAsiaTheme="minorEastAsia"/>
          <w:sz w:val="24"/>
          <w:szCs w:val="24"/>
          <w:highlight w:val="none"/>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w:t>
      </w:r>
      <w:r>
        <w:rPr>
          <w:rFonts w:asciiTheme="minorEastAsia" w:hAnsiTheme="minorEastAsia" w:eastAsiaTheme="minorEastAsia"/>
          <w:sz w:val="24"/>
          <w:szCs w:val="24"/>
          <w:highlight w:val="none"/>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w:t>
      </w:r>
      <w:r>
        <w:rPr>
          <w:rFonts w:asciiTheme="minorEastAsia" w:hAnsiTheme="minorEastAsia" w:eastAsiaTheme="minorEastAsia"/>
          <w:sz w:val="24"/>
          <w:szCs w:val="24"/>
          <w:highlight w:val="none"/>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5</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color w:val="FF0000"/>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color w:val="auto"/>
          <w:sz w:val="24"/>
          <w:szCs w:val="24"/>
          <w:highlight w:val="none"/>
          <w:lang w:eastAsia="zh-CN"/>
        </w:rPr>
        <w:t>李</w:t>
      </w:r>
      <w:r>
        <w:rPr>
          <w:rFonts w:hint="eastAsia" w:ascii="宋体" w:hAnsi="宋体" w:eastAsia="宋体" w:cs="Times New Roman"/>
          <w:color w:val="auto"/>
          <w:sz w:val="24"/>
          <w:szCs w:val="24"/>
          <w:highlight w:val="none"/>
        </w:rPr>
        <w:t xml:space="preserve">老师 </w:t>
      </w:r>
      <w:r>
        <w:rPr>
          <w:rFonts w:hint="eastAsia" w:ascii="宋体" w:hAnsi="宋体" w:eastAsia="宋体" w:cs="Times New Roman"/>
          <w:color w:val="FF0000"/>
          <w:sz w:val="24"/>
          <w:szCs w:val="24"/>
          <w:highlight w:val="none"/>
        </w:rPr>
        <w:t xml:space="preserve"> </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color w:val="auto"/>
          <w:sz w:val="24"/>
          <w:szCs w:val="24"/>
          <w:lang w:val="en-US" w:eastAsia="zh-CN"/>
        </w:rPr>
        <w:t>13008675669</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120614213"/>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20823275"/>
      <w:bookmarkStart w:id="25" w:name="_Toc120614214"/>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16938520"/>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513029205"/>
      <w:bookmarkStart w:id="33" w:name="_Toc16938521"/>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20823279"/>
      <w:bookmarkStart w:id="39" w:name="_Toc46256406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517190883"/>
      <w:bookmarkStart w:id="43" w:name="_Toc20823281"/>
      <w:bookmarkStart w:id="44" w:name="_Toc513029209"/>
      <w:bookmarkStart w:id="45" w:name="_Toc12061421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20823283"/>
      <w:bookmarkStart w:id="51" w:name="_Toc513029211"/>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16938528"/>
      <w:bookmarkStart w:id="55" w:name="_Toc513029212"/>
      <w:bookmarkStart w:id="56" w:name="_Toc462564071"/>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7190884"/>
      <w:bookmarkStart w:id="58" w:name="_Toc513029213"/>
      <w:bookmarkStart w:id="59" w:name="_Toc16938529"/>
      <w:bookmarkStart w:id="60" w:name="_Toc120614216"/>
      <w:bookmarkStart w:id="61" w:name="_Toc462564072"/>
      <w:bookmarkStart w:id="62" w:name="_Toc20823285"/>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16938530"/>
      <w:bookmarkStart w:id="65" w:name="_Toc513029214"/>
      <w:bookmarkStart w:id="66" w:name="_Toc462564073"/>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462564074"/>
      <w:bookmarkStart w:id="69" w:name="_Toc513029215"/>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70360"/>
      <w:bookmarkEnd w:id="71"/>
      <w:bookmarkStart w:id="72" w:name="_Hlt26954838"/>
      <w:bookmarkEnd w:id="72"/>
      <w:bookmarkStart w:id="73" w:name="_Hlt26668975"/>
      <w:bookmarkEnd w:id="73"/>
      <w:bookmarkStart w:id="74" w:name="_Toc14577357"/>
      <w:bookmarkStart w:id="75" w:name="_Toc513029219"/>
      <w:bookmarkStart w:id="76" w:name="_Toc49090509"/>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954842"/>
      <w:bookmarkEnd w:id="87"/>
      <w:bookmarkStart w:id="88" w:name="_Hlt26670425"/>
      <w:bookmarkEnd w:id="88"/>
      <w:bookmarkStart w:id="89" w:name="_Hlt26668983"/>
      <w:bookmarkEnd w:id="89"/>
      <w:bookmarkStart w:id="90" w:name="_Hlt2667040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731"/>
      <w:bookmarkEnd w:id="91"/>
      <w:bookmarkStart w:id="92" w:name="_Hlt26954848"/>
      <w:bookmarkEnd w:id="92"/>
      <w:bookmarkStart w:id="93" w:name="_Hlt26670482"/>
      <w:bookmarkEnd w:id="93"/>
      <w:bookmarkStart w:id="94" w:name="_Hlt26954846"/>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739"/>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513029224"/>
      <w:bookmarkStart w:id="107" w:name="_Toc120614217"/>
      <w:bookmarkStart w:id="108" w:name="_Toc16938540"/>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462564084"/>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16938544"/>
      <w:bookmarkStart w:id="121" w:name="_Toc20823300"/>
      <w:bookmarkStart w:id="122" w:name="_Toc513029228"/>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120614218"/>
      <w:bookmarkStart w:id="125" w:name="_Toc16938545"/>
      <w:bookmarkStart w:id="126" w:name="_Toc20823301"/>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513029230"/>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20823303"/>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513029234"/>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4"/>
      <w:bookmarkStart w:id="150" w:name="OLE_LINK3"/>
      <w:bookmarkStart w:id="151" w:name="OLE_LINK5"/>
      <w:bookmarkStart w:id="152" w:name="OLE_LINK8"/>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513029236"/>
      <w:bookmarkStart w:id="159" w:name="_Toc16938552"/>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16938553"/>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金属材料如铬、金、银的可控沉积</w:t>
      </w:r>
    </w:p>
    <w:p>
      <w:pPr>
        <w:pStyle w:val="14"/>
        <w:spacing w:line="0" w:lineRule="atLeast"/>
        <w:ind w:left="982" w:leftChars="128" w:hanging="700" w:hangingChars="250"/>
        <w:rPr>
          <w:rFonts w:asciiTheme="minorEastAsia" w:hAnsiTheme="minorEastAsia" w:eastAsiaTheme="minorEastAsia" w:cstheme="minorEastAsia"/>
          <w:b/>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金属热蒸发沉积室组件：</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 真空室：为圆形腔体，腔体尺寸为</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00</w:t>
      </w:r>
      <w:r>
        <w:rPr>
          <w:rFonts w:hint="eastAsia" w:asciiTheme="minorEastAsia" w:hAnsiTheme="minorEastAsia" w:eastAsiaTheme="minorEastAsia" w:cstheme="minorEastAsia"/>
          <w:sz w:val="28"/>
          <w:szCs w:val="28"/>
          <w:lang w:val="en-US" w:eastAsia="zh-CN"/>
        </w:rPr>
        <w:t>-400</w:t>
      </w:r>
      <w:r>
        <w:rPr>
          <w:rFonts w:hint="eastAsia" w:asciiTheme="minorEastAsia" w:hAnsiTheme="minorEastAsia" w:eastAsiaTheme="minorEastAsia" w:cstheme="minorEastAsia"/>
          <w:sz w:val="28"/>
          <w:szCs w:val="28"/>
        </w:rPr>
        <w:t xml:space="preserve"> mm×</w:t>
      </w: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00</w:t>
      </w:r>
      <w:r>
        <w:rPr>
          <w:rFonts w:hint="eastAsia" w:asciiTheme="minorEastAsia" w:hAnsiTheme="minorEastAsia" w:eastAsiaTheme="minorEastAsia" w:cstheme="minorEastAsia"/>
          <w:sz w:val="28"/>
          <w:szCs w:val="28"/>
          <w:lang w:val="en-US" w:eastAsia="zh-CN"/>
        </w:rPr>
        <w:t>-500</w:t>
      </w:r>
      <w:r>
        <w:rPr>
          <w:rFonts w:hint="eastAsia" w:asciiTheme="minorEastAsia" w:hAnsiTheme="minorEastAsia" w:eastAsiaTheme="minorEastAsia" w:cstheme="minorEastAsia"/>
          <w:sz w:val="28"/>
          <w:szCs w:val="28"/>
        </w:rPr>
        <w:t xml:space="preserve"> mm。上面设有连接蒸发源、分子泵、真空规、照明、观察窗、备用接口、石英晶体探头以及样品台法兰接口。腔体全部采用不锈钢材料制造，氩弧焊接，表面特殊工艺,抛光处理,外表美观。该腔体尺寸满足蒸发源与样品台之间距离为250 mm。</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 真空室上端法兰,用气缸支撑,可以翻起,可以放样品,清洗腔体。</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 真空室前圆形门,可以方便放材料。</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样品沉积台机构：直径100 mm</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 样品台设有加热，温度范围0-750度,温控精度±1度。</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不锈钢蒸发基片托1 个，可容纳样品最大尺寸：100 mm×100 mm（抽插式结构）。</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 手动直接转轴驱动样品挡板1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 金属掩模版的放置方式为贴附于样品表面，并固定在样品载台。</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热蒸发电极组件及控制电源：</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 蒸发水冷电极3 组：一个公用极控制连接三根电极，组成三组蒸发舟。三组蒸发电极可旋转以实现与样品台的对准。</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 蒸发电源：1 台，最大输出功率3 KW（电压10 V；电流200 A）。</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 手挡板组件 ：3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 使用温控表调节电流值，可设置电流精度0.1 A；电流可通过手动操作设置。</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3.5 蒸发源之间设有可拆卸挡板，防止蒸发源交叉污染及方便清洗安装。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真空系统及真空测量:</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真空极限指标:4.0 x 10</w:t>
      </w:r>
      <w:r>
        <w:rPr>
          <w:rFonts w:hint="eastAsia" w:asciiTheme="minorEastAsia" w:hAnsiTheme="minorEastAsia" w:eastAsiaTheme="minorEastAsia" w:cstheme="minorEastAsia"/>
          <w:sz w:val="28"/>
          <w:szCs w:val="28"/>
          <w:vertAlign w:val="superscript"/>
        </w:rPr>
        <w:t>-5</w:t>
      </w:r>
      <w:r>
        <w:rPr>
          <w:rFonts w:hint="eastAsia" w:asciiTheme="minorEastAsia" w:hAnsiTheme="minorEastAsia" w:eastAsiaTheme="minorEastAsia" w:cstheme="minorEastAsia"/>
          <w:sz w:val="28"/>
          <w:szCs w:val="28"/>
        </w:rPr>
        <w:t xml:space="preserve"> Pa，实验指标为40分钟从大气抽至5.0x 10</w:t>
      </w:r>
      <w:r>
        <w:rPr>
          <w:rFonts w:hint="eastAsia" w:asciiTheme="minorEastAsia" w:hAnsiTheme="minorEastAsia" w:eastAsiaTheme="minorEastAsia" w:cstheme="minorEastAsia"/>
          <w:sz w:val="28"/>
          <w:szCs w:val="28"/>
          <w:vertAlign w:val="superscript"/>
        </w:rPr>
        <w:t>-4</w:t>
      </w:r>
      <w:r>
        <w:rPr>
          <w:rFonts w:hint="eastAsia" w:asciiTheme="minorEastAsia" w:hAnsiTheme="minorEastAsia" w:eastAsiaTheme="minorEastAsia" w:cstheme="minorEastAsia"/>
          <w:sz w:val="28"/>
          <w:szCs w:val="28"/>
        </w:rPr>
        <w:t xml:space="preserve"> Pa，关机12 小时设备腔体内压强增大≤15 Pa（新设备空载，极限真空后关机）；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4.1 分子泵及控制电源： 1 套，抽速：600 L/S。</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4.2 机械泵及电磁阀：1 套，抽速：4 L/S。</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4.3 金属软连接前极管道：2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4.4 宽量程数显真空计：</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电阻规：1.0x10</w:t>
      </w:r>
      <w:r>
        <w:rPr>
          <w:rFonts w:hint="eastAsia" w:asciiTheme="minorEastAsia" w:hAnsiTheme="minorEastAsia" w:eastAsiaTheme="minorEastAsia" w:cstheme="minorEastAsia"/>
          <w:sz w:val="28"/>
          <w:szCs w:val="28"/>
          <w:vertAlign w:val="superscript"/>
        </w:rPr>
        <w:t>5</w:t>
      </w:r>
      <w:r>
        <w:rPr>
          <w:rFonts w:hint="eastAsia" w:asciiTheme="minorEastAsia" w:hAnsiTheme="minorEastAsia" w:eastAsiaTheme="minorEastAsia" w:cstheme="minorEastAsia"/>
          <w:sz w:val="28"/>
          <w:szCs w:val="28"/>
        </w:rPr>
        <w:t xml:space="preserve"> Pa - 1.0x10</w:t>
      </w:r>
      <w:r>
        <w:rPr>
          <w:rFonts w:hint="eastAsia" w:asciiTheme="minorEastAsia" w:hAnsiTheme="minorEastAsia" w:eastAsiaTheme="minorEastAsia" w:cstheme="minorEastAsia"/>
          <w:sz w:val="28"/>
          <w:szCs w:val="28"/>
          <w:vertAlign w:val="superscript"/>
        </w:rPr>
        <w:t>-1</w:t>
      </w:r>
      <w:r>
        <w:rPr>
          <w:rFonts w:hint="eastAsia" w:asciiTheme="minorEastAsia" w:hAnsiTheme="minorEastAsia" w:eastAsiaTheme="minorEastAsia" w:cstheme="minorEastAsia"/>
          <w:sz w:val="28"/>
          <w:szCs w:val="28"/>
        </w:rPr>
        <w:t xml:space="preserve"> Pa： 1 只；</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电离规：1.0x10</w:t>
      </w:r>
      <w:r>
        <w:rPr>
          <w:rFonts w:hint="eastAsia" w:asciiTheme="minorEastAsia" w:hAnsiTheme="minorEastAsia" w:eastAsiaTheme="minorEastAsia" w:cstheme="minorEastAsia"/>
          <w:sz w:val="28"/>
          <w:szCs w:val="28"/>
          <w:vertAlign w:val="superscript"/>
        </w:rPr>
        <w:t>-1</w:t>
      </w:r>
      <w:r>
        <w:rPr>
          <w:rFonts w:hint="eastAsia" w:asciiTheme="minorEastAsia" w:hAnsiTheme="minorEastAsia" w:eastAsiaTheme="minorEastAsia" w:cstheme="minorEastAsia"/>
          <w:sz w:val="28"/>
          <w:szCs w:val="28"/>
        </w:rPr>
        <w:t xml:space="preserve"> Pa - 1.0x10</w:t>
      </w:r>
      <w:r>
        <w:rPr>
          <w:rFonts w:hint="eastAsia" w:asciiTheme="minorEastAsia" w:hAnsiTheme="minorEastAsia" w:eastAsiaTheme="minorEastAsia" w:cstheme="minorEastAsia"/>
          <w:sz w:val="28"/>
          <w:szCs w:val="28"/>
          <w:vertAlign w:val="superscript"/>
        </w:rPr>
        <w:t>-5</w:t>
      </w:r>
      <w:r>
        <w:rPr>
          <w:rFonts w:hint="eastAsia" w:asciiTheme="minorEastAsia" w:hAnsiTheme="minorEastAsia" w:eastAsiaTheme="minorEastAsia" w:cstheme="minorEastAsia"/>
          <w:sz w:val="28"/>
          <w:szCs w:val="28"/>
        </w:rPr>
        <w:t xml:space="preserve"> Pa：1 只 。</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电控系统：</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5.1 总控电源：为机械泵、真空计等提供电源，有断电断水保护功能： 1 台。</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5.2 无机蒸发电源：1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 照明电源：1 套，最大输出功率3 Kw（电压10 V；电流300 A）。</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5.4 断水保护： 1 套。</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 膜厚仪：单通道，探头1 路，精准在线监测材料蒸发速率。</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（1）保修期：免费质保期2年，自验收合格之日起算，并提供相关承诺书。质保期内发生任何设备损坏，所需要的维修费用（包括零部件费用、维修费用）均由卖方承担（人为操作不当造成的损坏除外）。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（3）售后技术服务要求：</w:t>
      </w:r>
      <w:r>
        <w:rPr>
          <w:rFonts w:hint="eastAsia"/>
        </w:rPr>
        <w:t>本地化服务要求（距采购人最近的服务网点情况表、服务响应时间等），</w:t>
      </w:r>
      <w:r>
        <w:rPr>
          <w:rFonts w:hint="eastAsia" w:asciiTheme="minorEastAsia" w:hAnsiTheme="minorEastAsia" w:eastAsiaTheme="minorEastAsia"/>
          <w:sz w:val="28"/>
          <w:szCs w:val="28"/>
        </w:rPr>
        <w:t>提供详细的售后服务计划。</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w:t>
      </w:r>
      <w:r>
        <w:rPr>
          <w:rFonts w:hint="eastAsia" w:ascii="宋体" w:hAnsi="宋体" w:eastAsia="宋体" w:cs="宋体"/>
          <w:szCs w:val="21"/>
          <w:lang w:eastAsia="zh-CN"/>
        </w:rPr>
        <w:t>正常运行</w:t>
      </w:r>
      <w:r>
        <w:rPr>
          <w:rFonts w:hint="eastAsia" w:ascii="宋体" w:hAnsi="宋体" w:eastAsia="宋体" w:cs="宋体"/>
          <w:szCs w:val="21"/>
        </w:rPr>
        <w:t>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
    <w:p/>
    <w:p/>
    <w:p/>
    <w:p/>
    <w:p/>
    <w:p/>
    <w:p/>
    <w:p/>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Arial" w:hAnsi="Arial" w:cs="Arial"/>
                <w:bCs/>
                <w:sz w:val="24"/>
              </w:rPr>
            </w:pPr>
            <w:r>
              <w:rPr>
                <w:rFonts w:ascii="Arial" w:hAnsi="Arial" w:cs="Arial"/>
                <w:bCs/>
                <w:sz w:val="24"/>
              </w:rPr>
              <w:t>序号</w:t>
            </w:r>
          </w:p>
        </w:tc>
        <w:tc>
          <w:tcPr>
            <w:tcW w:w="1984" w:type="dxa"/>
            <w:vAlign w:val="center"/>
          </w:tcPr>
          <w:p>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9"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1</w:t>
            </w:r>
          </w:p>
        </w:tc>
        <w:tc>
          <w:tcPr>
            <w:tcW w:w="1984" w:type="dxa"/>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价格</w:t>
            </w:r>
          </w:p>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（30分）</w:t>
            </w:r>
          </w:p>
        </w:tc>
        <w:tc>
          <w:tcPr>
            <w:tcW w:w="5614" w:type="dxa"/>
            <w:vAlign w:val="center"/>
          </w:tcPr>
          <w:p>
            <w:pPr>
              <w:spacing w:line="360" w:lineRule="auto"/>
              <w:rPr>
                <w:rFonts w:hint="eastAsia" w:cs="Arial" w:asciiTheme="minorEastAsia" w:hAnsiTheme="minorEastAsia" w:eastAsiaTheme="minorEastAsia"/>
                <w:bCs/>
                <w:sz w:val="20"/>
                <w:szCs w:val="20"/>
                <w:lang w:eastAsia="zh-CN"/>
              </w:rPr>
            </w:pPr>
            <w:r>
              <w:rPr>
                <w:rFonts w:cs="Arial" w:asciiTheme="minorEastAsia" w:hAnsiTheme="minorEastAsia" w:eastAsiaTheme="minorEastAsia"/>
                <w:bCs/>
                <w:sz w:val="20"/>
                <w:szCs w:val="20"/>
              </w:rPr>
              <w:t>本次招标，以进入详细评审的各投标人评标价的最低值为A值，A值为价格分的满分，即30分。其他投标人的价格分统一按照以下公式计算：投标人评标价得分=（A／该投标人评标价）×30。</w:t>
            </w:r>
            <w:r>
              <w:rPr>
                <w:rFonts w:hint="eastAsia" w:cs="Arial" w:asciiTheme="minorEastAsia" w:hAnsiTheme="minorEastAsia" w:eastAsiaTheme="minorEastAsia"/>
                <w:bCs/>
                <w:sz w:val="20"/>
                <w:szCs w:val="20"/>
                <w:lang w:eastAsia="zh-CN"/>
              </w:rPr>
              <w:t>（保留小数点后两位）</w:t>
            </w:r>
          </w:p>
        </w:tc>
        <w:tc>
          <w:tcPr>
            <w:tcW w:w="798" w:type="dxa"/>
            <w:vAlign w:val="center"/>
          </w:tcPr>
          <w:p>
            <w:pPr>
              <w:spacing w:line="360" w:lineRule="auto"/>
              <w:jc w:val="center"/>
              <w:rPr>
                <w:rFonts w:ascii="Arial" w:hAnsi="Arial" w:cs="Arial"/>
                <w:bCs/>
                <w:sz w:val="20"/>
                <w:szCs w:val="20"/>
              </w:rPr>
            </w:pPr>
            <w:r>
              <w:rPr>
                <w:rFonts w:ascii="Arial" w:hAnsi="Arial" w:cs="Arial"/>
                <w:bCs/>
                <w:sz w:val="20"/>
                <w:szCs w:val="2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Arial" w:hAnsi="Arial" w:cs="Arial"/>
                <w:bCs/>
                <w:sz w:val="20"/>
                <w:szCs w:val="20"/>
              </w:rPr>
            </w:pPr>
            <w:r>
              <w:rPr>
                <w:rFonts w:ascii="Arial" w:hAnsi="Arial" w:cs="Arial"/>
                <w:bCs/>
                <w:sz w:val="20"/>
                <w:szCs w:val="20"/>
              </w:rPr>
              <w:t>2</w:t>
            </w:r>
          </w:p>
        </w:tc>
        <w:tc>
          <w:tcPr>
            <w:tcW w:w="1984" w:type="dxa"/>
            <w:vMerge w:val="restart"/>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技术能力</w:t>
            </w:r>
          </w:p>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w:t>
            </w:r>
            <w:r>
              <w:rPr>
                <w:rFonts w:hint="eastAsia" w:cs="Arial" w:asciiTheme="minorEastAsia" w:hAnsiTheme="minorEastAsia" w:eastAsiaTheme="minorEastAsia"/>
                <w:bCs/>
                <w:sz w:val="20"/>
                <w:szCs w:val="20"/>
              </w:rPr>
              <w:t>33</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hint="eastAsia" w:cs="宋体" w:asciiTheme="minorEastAsia" w:hAnsiTheme="minorEastAsia" w:eastAsiaTheme="minorEastAsia"/>
                <w:bCs/>
                <w:sz w:val="20"/>
                <w:szCs w:val="20"/>
              </w:rPr>
              <w:t>根据各投标产品的先进性、匹配性、可靠性、稳定性以及质量、性能酌情打分，较好4-5分，一般</w:t>
            </w:r>
            <w:r>
              <w:rPr>
                <w:rFonts w:cs="宋体" w:asciiTheme="minorEastAsia" w:hAnsiTheme="minorEastAsia" w:eastAsiaTheme="minorEastAsia"/>
                <w:bCs/>
                <w:sz w:val="20"/>
                <w:szCs w:val="20"/>
              </w:rPr>
              <w:t>2-3</w:t>
            </w:r>
            <w:r>
              <w:rPr>
                <w:rFonts w:hint="eastAsia" w:cs="宋体" w:asciiTheme="minorEastAsia" w:hAnsiTheme="minorEastAsia" w:eastAsiaTheme="minorEastAsia"/>
                <w:bCs/>
                <w:sz w:val="20"/>
                <w:szCs w:val="20"/>
              </w:rPr>
              <w:t>分，其他0-1分。</w:t>
            </w:r>
          </w:p>
        </w:tc>
        <w:tc>
          <w:tcPr>
            <w:tcW w:w="798" w:type="dxa"/>
            <w:vAlign w:val="center"/>
          </w:tcPr>
          <w:p>
            <w:pPr>
              <w:spacing w:line="360" w:lineRule="auto"/>
              <w:ind w:firstLine="100" w:firstLineChars="50"/>
              <w:rPr>
                <w:rFonts w:ascii="Arial" w:hAnsi="Arial" w:cs="Arial"/>
                <w:bCs/>
                <w:sz w:val="20"/>
                <w:szCs w:val="20"/>
              </w:rPr>
            </w:pPr>
            <w:r>
              <w:rPr>
                <w:rFonts w:hint="eastAsia" w:ascii="Arial" w:hAnsi="Arial"/>
                <w:bCs/>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2" w:hRule="atLeast"/>
        </w:trPr>
        <w:tc>
          <w:tcPr>
            <w:tcW w:w="534" w:type="dxa"/>
            <w:vMerge w:val="continue"/>
            <w:vAlign w:val="center"/>
          </w:tcPr>
          <w:p>
            <w:pPr>
              <w:spacing w:line="360" w:lineRule="auto"/>
              <w:jc w:val="center"/>
              <w:rPr>
                <w:rFonts w:ascii="Arial" w:hAnsi="Arial" w:cs="Arial"/>
                <w:bCs/>
                <w:sz w:val="20"/>
                <w:szCs w:val="20"/>
              </w:rPr>
            </w:pPr>
          </w:p>
        </w:tc>
        <w:tc>
          <w:tcPr>
            <w:tcW w:w="1984" w:type="dxa"/>
            <w:vMerge w:val="continue"/>
            <w:vAlign w:val="center"/>
          </w:tcPr>
          <w:p>
            <w:pPr>
              <w:spacing w:line="360" w:lineRule="auto"/>
              <w:rPr>
                <w:rFonts w:cs="Arial" w:asciiTheme="minorEastAsia" w:hAnsiTheme="minorEastAsia" w:eastAsiaTheme="minorEastAsia"/>
                <w:bCs/>
                <w:sz w:val="20"/>
                <w:szCs w:val="20"/>
              </w:rPr>
            </w:pPr>
          </w:p>
        </w:tc>
        <w:tc>
          <w:tcPr>
            <w:tcW w:w="5614" w:type="dxa"/>
            <w:vAlign w:val="center"/>
          </w:tcPr>
          <w:p>
            <w:pPr>
              <w:spacing w:line="360" w:lineRule="auto"/>
              <w:rPr>
                <w:rFonts w:cs="宋体" w:asciiTheme="minorEastAsia" w:hAnsiTheme="minorEastAsia" w:eastAsiaTheme="minorEastAsia"/>
                <w:bCs/>
                <w:sz w:val="20"/>
                <w:szCs w:val="20"/>
              </w:rPr>
            </w:pPr>
            <w:r>
              <w:rPr>
                <w:rFonts w:hint="eastAsia" w:cs="宋体" w:asciiTheme="minorEastAsia" w:hAnsiTheme="minorEastAsia" w:eastAsiaTheme="minorEastAsia"/>
                <w:bCs/>
                <w:sz w:val="20"/>
                <w:szCs w:val="20"/>
              </w:rPr>
              <w:t>投标产品对招标文件具体需求的响应程度：满足招标文件技术指标、参数要求的得24分（" ★"项的为主要指标，不满足的每项减</w:t>
            </w:r>
            <w:r>
              <w:rPr>
                <w:rFonts w:hint="eastAsia" w:cs="宋体" w:asciiTheme="minorEastAsia" w:hAnsiTheme="minorEastAsia" w:eastAsiaTheme="minorEastAsia"/>
                <w:bCs/>
                <w:sz w:val="20"/>
                <w:szCs w:val="20"/>
                <w:lang w:val="en-US" w:eastAsia="zh-CN"/>
              </w:rPr>
              <w:t>4</w:t>
            </w:r>
            <w:r>
              <w:rPr>
                <w:rFonts w:hint="eastAsia" w:cs="宋体" w:asciiTheme="minorEastAsia" w:hAnsiTheme="minorEastAsia" w:eastAsiaTheme="minorEastAsia"/>
                <w:bCs/>
                <w:sz w:val="20"/>
                <w:szCs w:val="20"/>
              </w:rPr>
              <w:t>分；其他每有一项偏离减</w:t>
            </w:r>
            <w:r>
              <w:rPr>
                <w:rFonts w:hint="eastAsia" w:cs="宋体" w:asciiTheme="minorEastAsia" w:hAnsiTheme="minorEastAsia" w:eastAsiaTheme="minorEastAsia"/>
                <w:bCs/>
                <w:sz w:val="20"/>
                <w:szCs w:val="20"/>
                <w:lang w:val="en-US" w:eastAsia="zh-CN"/>
              </w:rPr>
              <w:t>3</w:t>
            </w:r>
            <w:r>
              <w:rPr>
                <w:rFonts w:hint="eastAsia" w:cs="宋体" w:asciiTheme="minorEastAsia" w:hAnsiTheme="minorEastAsia" w:eastAsiaTheme="minorEastAsia"/>
                <w:bCs/>
                <w:sz w:val="20"/>
                <w:szCs w:val="20"/>
              </w:rPr>
              <w:t>分；负偏离超过</w:t>
            </w:r>
            <w:r>
              <w:rPr>
                <w:rFonts w:hint="eastAsia" w:cs="宋体" w:asciiTheme="minorEastAsia" w:hAnsiTheme="minorEastAsia" w:eastAsiaTheme="minorEastAsia"/>
                <w:bCs/>
                <w:sz w:val="20"/>
                <w:szCs w:val="20"/>
                <w:lang w:val="en-US" w:eastAsia="zh-CN"/>
              </w:rPr>
              <w:t>4</w:t>
            </w:r>
            <w:r>
              <w:rPr>
                <w:rFonts w:hint="eastAsia" w:cs="宋体" w:asciiTheme="minorEastAsia" w:hAnsiTheme="minorEastAsia" w:eastAsiaTheme="minorEastAsia"/>
                <w:bCs/>
                <w:sz w:val="20"/>
                <w:szCs w:val="20"/>
              </w:rPr>
              <w:t>项的不得分</w:t>
            </w:r>
            <w:r>
              <w:rPr>
                <w:rFonts w:hint="eastAsia" w:cs="宋体" w:asciiTheme="minorEastAsia" w:hAnsiTheme="minorEastAsia" w:eastAsiaTheme="minorEastAsia"/>
                <w:bCs/>
                <w:sz w:val="20"/>
                <w:szCs w:val="20"/>
                <w:lang w:eastAsia="zh-CN"/>
              </w:rPr>
              <w:t>；</w:t>
            </w:r>
            <w:r>
              <w:rPr>
                <w:rFonts w:hint="eastAsia" w:cs="宋体" w:asciiTheme="minorEastAsia" w:hAnsiTheme="minorEastAsia" w:eastAsiaTheme="minorEastAsia"/>
                <w:bCs/>
                <w:sz w:val="20"/>
                <w:szCs w:val="20"/>
              </w:rPr>
              <w:t xml:space="preserve">每有一项优于招标文件，经评委会认可的加1分，最多加4分。） </w:t>
            </w:r>
          </w:p>
        </w:tc>
        <w:tc>
          <w:tcPr>
            <w:tcW w:w="798" w:type="dxa"/>
            <w:vAlign w:val="center"/>
          </w:tcPr>
          <w:p>
            <w:pPr>
              <w:spacing w:line="360" w:lineRule="auto"/>
              <w:ind w:firstLine="100" w:firstLineChars="50"/>
              <w:rPr>
                <w:rFonts w:cs="Arial" w:asciiTheme="minorEastAsia" w:hAnsiTheme="minorEastAsia" w:eastAsiaTheme="minorEastAsia"/>
                <w:bCs/>
                <w:sz w:val="20"/>
                <w:szCs w:val="20"/>
              </w:rPr>
            </w:pPr>
            <w:r>
              <w:rPr>
                <w:rFonts w:hint="eastAsia" w:asciiTheme="minorEastAsia" w:hAnsiTheme="minorEastAsia" w:eastAsiaTheme="minorEastAsia"/>
                <w:bCs/>
                <w:sz w:val="20"/>
                <w:szCs w:val="20"/>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ascii="Arial" w:hAnsi="Arial" w:cs="Arial"/>
                <w:bCs/>
                <w:sz w:val="20"/>
                <w:szCs w:val="20"/>
              </w:rPr>
            </w:pPr>
            <w:r>
              <w:rPr>
                <w:rFonts w:ascii="Arial" w:hAnsi="Arial" w:cs="Arial"/>
                <w:bCs/>
                <w:sz w:val="20"/>
                <w:szCs w:val="20"/>
              </w:rPr>
              <w:t>3</w:t>
            </w:r>
          </w:p>
        </w:tc>
        <w:tc>
          <w:tcPr>
            <w:tcW w:w="1984" w:type="dxa"/>
            <w:vMerge w:val="restart"/>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服务</w:t>
            </w:r>
          </w:p>
          <w:p>
            <w:pPr>
              <w:spacing w:line="360" w:lineRule="auto"/>
              <w:jc w:val="center"/>
              <w:rPr>
                <w:rFonts w:ascii="Arial" w:hAnsi="Arial" w:cs="Arial"/>
                <w:bCs/>
                <w:sz w:val="20"/>
                <w:szCs w:val="20"/>
              </w:rPr>
            </w:pPr>
            <w:r>
              <w:rPr>
                <w:rFonts w:cs="Arial" w:asciiTheme="minorEastAsia" w:hAnsiTheme="minorEastAsia" w:eastAsiaTheme="minorEastAsia"/>
                <w:bCs/>
                <w:sz w:val="20"/>
                <w:szCs w:val="20"/>
              </w:rPr>
              <w:t>（</w:t>
            </w:r>
            <w:r>
              <w:rPr>
                <w:rFonts w:hint="eastAsia" w:cs="Arial" w:asciiTheme="minorEastAsia" w:hAnsiTheme="minorEastAsia" w:eastAsiaTheme="minorEastAsia"/>
                <w:bCs/>
                <w:sz w:val="20"/>
                <w:szCs w:val="20"/>
              </w:rPr>
              <w:t>15</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售后服务</w:t>
            </w:r>
            <w:r>
              <w:rPr>
                <w:rFonts w:hint="eastAsia" w:cs="Arial" w:asciiTheme="minorEastAsia" w:hAnsiTheme="minorEastAsia" w:eastAsiaTheme="minorEastAsia"/>
                <w:bCs/>
                <w:sz w:val="20"/>
                <w:szCs w:val="20"/>
              </w:rPr>
              <w:t>方案</w:t>
            </w:r>
            <w:r>
              <w:rPr>
                <w:rFonts w:cs="Arial" w:asciiTheme="minorEastAsia" w:hAnsiTheme="minorEastAsia" w:eastAsiaTheme="minorEastAsia"/>
                <w:bCs/>
                <w:sz w:val="20"/>
                <w:szCs w:val="20"/>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0"/>
                <w:szCs w:val="20"/>
              </w:rPr>
              <w:t>、备品备件的承诺。</w:t>
            </w:r>
          </w:p>
          <w:p>
            <w:pPr>
              <w:spacing w:line="360" w:lineRule="auto"/>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Arial" w:hAnsi="Arial" w:cs="Arial"/>
                <w:bCs/>
                <w:sz w:val="20"/>
                <w:szCs w:val="20"/>
              </w:rPr>
            </w:pPr>
          </w:p>
        </w:tc>
        <w:tc>
          <w:tcPr>
            <w:tcW w:w="1984" w:type="dxa"/>
            <w:vMerge w:val="continue"/>
            <w:vAlign w:val="center"/>
          </w:tcPr>
          <w:p>
            <w:pPr>
              <w:spacing w:line="360" w:lineRule="auto"/>
              <w:rPr>
                <w:rFonts w:ascii="Arial" w:hAnsi="Arial" w:cs="Arial"/>
                <w:bCs/>
                <w:sz w:val="20"/>
                <w:szCs w:val="20"/>
              </w:rPr>
            </w:pP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4</w:t>
            </w:r>
          </w:p>
        </w:tc>
        <w:tc>
          <w:tcPr>
            <w:tcW w:w="1984" w:type="dxa"/>
            <w:vAlign w:val="center"/>
          </w:tcPr>
          <w:p>
            <w:pPr>
              <w:spacing w:line="360" w:lineRule="auto"/>
              <w:ind w:right="-275" w:rightChars="-125"/>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业绩（</w:t>
            </w:r>
            <w:r>
              <w:rPr>
                <w:rFonts w:hint="eastAsia" w:cs="Arial" w:asciiTheme="minorEastAsia" w:hAnsiTheme="minorEastAsia" w:eastAsiaTheme="minorEastAsia"/>
                <w:bCs/>
                <w:sz w:val="20"/>
                <w:szCs w:val="20"/>
              </w:rPr>
              <w:t>15</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hint="eastAsia" w:cs="Arial" w:asciiTheme="minorEastAsia" w:hAnsiTheme="minorEastAsia" w:eastAsiaTheme="minorEastAsia"/>
                <w:sz w:val="20"/>
                <w:szCs w:val="20"/>
              </w:rPr>
              <w:t>投标人201</w:t>
            </w:r>
            <w:r>
              <w:rPr>
                <w:rFonts w:hint="eastAsia" w:cs="Arial" w:asciiTheme="minorEastAsia" w:hAnsiTheme="minorEastAsia" w:eastAsiaTheme="minorEastAsia"/>
                <w:sz w:val="20"/>
                <w:szCs w:val="20"/>
                <w:lang w:val="en-US" w:eastAsia="zh-CN"/>
              </w:rPr>
              <w:t>6</w:t>
            </w:r>
            <w:r>
              <w:rPr>
                <w:rFonts w:hint="eastAsia" w:cs="Arial" w:asciiTheme="minorEastAsia" w:hAnsiTheme="minorEastAsia" w:eastAsiaTheme="minorEastAsia"/>
                <w:sz w:val="20"/>
                <w:szCs w:val="20"/>
              </w:rPr>
              <w:t>年01月01日以来的类似项目业绩，每提供一个得3分，最高得15分。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5</w:t>
            </w:r>
          </w:p>
        </w:tc>
        <w:tc>
          <w:tcPr>
            <w:tcW w:w="1984" w:type="dxa"/>
            <w:vAlign w:val="center"/>
          </w:tcPr>
          <w:p>
            <w:pPr>
              <w:spacing w:line="360" w:lineRule="auto"/>
              <w:jc w:val="center"/>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投标人财务与信誉状况（</w:t>
            </w:r>
            <w:r>
              <w:rPr>
                <w:rFonts w:hint="eastAsia" w:cs="Arial" w:asciiTheme="minorEastAsia" w:hAnsiTheme="minorEastAsia" w:eastAsiaTheme="minorEastAsia"/>
                <w:bCs/>
                <w:sz w:val="20"/>
                <w:szCs w:val="20"/>
              </w:rPr>
              <w:t>3</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0" w:hRule="atLeast"/>
        </w:trPr>
        <w:tc>
          <w:tcPr>
            <w:tcW w:w="534" w:type="dxa"/>
            <w:vAlign w:val="center"/>
          </w:tcPr>
          <w:p>
            <w:pPr>
              <w:spacing w:line="360" w:lineRule="auto"/>
              <w:jc w:val="center"/>
              <w:rPr>
                <w:rFonts w:ascii="Arial" w:hAnsi="Arial" w:cs="Arial"/>
                <w:bCs/>
                <w:sz w:val="20"/>
                <w:szCs w:val="20"/>
              </w:rPr>
            </w:pPr>
            <w:r>
              <w:rPr>
                <w:rFonts w:ascii="Arial" w:hAnsi="Arial" w:cs="Arial"/>
                <w:bCs/>
                <w:sz w:val="20"/>
                <w:szCs w:val="20"/>
              </w:rPr>
              <w:t>6</w:t>
            </w:r>
          </w:p>
        </w:tc>
        <w:tc>
          <w:tcPr>
            <w:tcW w:w="198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对招标文件响应程度（</w:t>
            </w:r>
            <w:r>
              <w:rPr>
                <w:rFonts w:hint="eastAsia" w:cs="Arial" w:asciiTheme="minorEastAsia" w:hAnsiTheme="minorEastAsia" w:eastAsiaTheme="minorEastAsia"/>
                <w:bCs/>
                <w:sz w:val="20"/>
                <w:szCs w:val="20"/>
              </w:rPr>
              <w:t>2</w:t>
            </w:r>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cs="Arial" w:asciiTheme="minorEastAsia" w:hAnsiTheme="minorEastAsia" w:eastAsiaTheme="minorEastAsia"/>
                <w:bCs/>
                <w:sz w:val="20"/>
                <w:szCs w:val="20"/>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trPr>
        <w:tc>
          <w:tcPr>
            <w:tcW w:w="534" w:type="dxa"/>
            <w:vMerge w:val="restart"/>
            <w:vAlign w:val="center"/>
          </w:tcPr>
          <w:p>
            <w:pPr>
              <w:spacing w:line="360" w:lineRule="auto"/>
              <w:jc w:val="center"/>
              <w:rPr>
                <w:rFonts w:ascii="Arial" w:hAnsi="Arial" w:cs="Arial"/>
                <w:bCs/>
                <w:sz w:val="20"/>
                <w:szCs w:val="20"/>
              </w:rPr>
            </w:pPr>
            <w:r>
              <w:rPr>
                <w:rFonts w:hint="eastAsia" w:ascii="Arial" w:hAnsi="Arial" w:cs="Arial"/>
                <w:bCs/>
                <w:sz w:val="20"/>
                <w:szCs w:val="20"/>
              </w:rPr>
              <w:t>7</w:t>
            </w:r>
          </w:p>
        </w:tc>
        <w:tc>
          <w:tcPr>
            <w:tcW w:w="1984" w:type="dxa"/>
            <w:vMerge w:val="restart"/>
            <w:vAlign w:val="center"/>
          </w:tcPr>
          <w:p>
            <w:pPr>
              <w:spacing w:line="360" w:lineRule="auto"/>
              <w:rPr>
                <w:rFonts w:cs="Arial" w:asciiTheme="minorEastAsia" w:hAnsiTheme="minorEastAsia" w:eastAsiaTheme="minorEastAsia"/>
                <w:bCs/>
                <w:sz w:val="20"/>
                <w:szCs w:val="20"/>
              </w:rPr>
            </w:pPr>
            <w:r>
              <w:rPr>
                <w:rFonts w:hint="eastAsia" w:cs="宋体" w:asciiTheme="minorEastAsia" w:hAnsiTheme="minorEastAsia" w:eastAsiaTheme="minorEastAsia"/>
                <w:bCs/>
                <w:sz w:val="20"/>
                <w:szCs w:val="20"/>
              </w:rPr>
              <w:t>国家政策导向</w:t>
            </w:r>
            <w:r>
              <w:rPr>
                <w:rFonts w:cs="Arial" w:asciiTheme="minorEastAsia" w:hAnsiTheme="minorEastAsia" w:eastAsiaTheme="minorEastAsia"/>
                <w:bCs/>
                <w:sz w:val="20"/>
                <w:szCs w:val="20"/>
              </w:rPr>
              <w:t>（</w:t>
            </w:r>
            <w:r>
              <w:rPr>
                <w:rFonts w:hint="eastAsia" w:cs="Arial" w:asciiTheme="minorEastAsia" w:hAnsiTheme="minorEastAsia" w:eastAsiaTheme="minorEastAsia"/>
                <w:bCs/>
                <w:sz w:val="20"/>
                <w:szCs w:val="20"/>
              </w:rPr>
              <w:t>2</w:t>
            </w:r>
            <w:bookmarkStart w:id="180" w:name="_GoBack"/>
            <w:bookmarkEnd w:id="180"/>
            <w:r>
              <w:rPr>
                <w:rFonts w:cs="Arial" w:asciiTheme="minorEastAsia" w:hAnsiTheme="minorEastAsia" w:eastAsiaTheme="minorEastAsia"/>
                <w:bCs/>
                <w:sz w:val="20"/>
                <w:szCs w:val="20"/>
              </w:rPr>
              <w:t>分）</w:t>
            </w:r>
          </w:p>
        </w:tc>
        <w:tc>
          <w:tcPr>
            <w:tcW w:w="5614" w:type="dxa"/>
            <w:vAlign w:val="center"/>
          </w:tcPr>
          <w:p>
            <w:pPr>
              <w:spacing w:line="360" w:lineRule="auto"/>
              <w:rPr>
                <w:rFonts w:cs="Arial" w:asciiTheme="minorEastAsia" w:hAnsiTheme="minorEastAsia" w:eastAsiaTheme="minorEastAsia"/>
                <w:bCs/>
                <w:sz w:val="20"/>
                <w:szCs w:val="20"/>
              </w:rPr>
            </w:pPr>
            <w:r>
              <w:rPr>
                <w:rFonts w:hint="eastAsia" w:ascii="宋体" w:hAnsi="宋体" w:eastAsia="宋体" w:cs="宋体"/>
                <w:bCs/>
                <w:sz w:val="20"/>
                <w:szCs w:val="20"/>
              </w:rPr>
              <w:t>环境标志产品：是指列入财政部、环境保护部最新公布的</w:t>
            </w:r>
            <w:r>
              <w:rPr>
                <w:rFonts w:hint="eastAsia" w:ascii="宋体" w:hAnsi="宋体" w:eastAsia="宋体" w:cs="宋体"/>
                <w:bCs/>
                <w:sz w:val="20"/>
                <w:szCs w:val="20"/>
                <w:lang w:eastAsia="zh-CN"/>
              </w:rPr>
              <w:t>品目清单范围</w:t>
            </w:r>
            <w:r>
              <w:rPr>
                <w:rFonts w:hint="eastAsia" w:ascii="宋体" w:hAnsi="宋体" w:eastAsia="宋体" w:cs="宋体"/>
                <w:bCs/>
                <w:sz w:val="20"/>
                <w:szCs w:val="20"/>
              </w:rPr>
              <w:t>内的产品</w:t>
            </w:r>
            <w:r>
              <w:rPr>
                <w:rFonts w:hint="eastAsia" w:ascii="宋体" w:hAnsi="宋体" w:eastAsia="宋体" w:cs="宋体"/>
                <w:bCs/>
                <w:sz w:val="20"/>
                <w:szCs w:val="20"/>
                <w:lang w:eastAsia="zh-CN"/>
              </w:rPr>
              <w:t>（提供有效期内国家确定的认证机构出具的认证证书）</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3" w:hRule="atLeast"/>
        </w:trPr>
        <w:tc>
          <w:tcPr>
            <w:tcW w:w="534" w:type="dxa"/>
            <w:vMerge w:val="continue"/>
            <w:vAlign w:val="center"/>
          </w:tcPr>
          <w:p>
            <w:pPr>
              <w:spacing w:line="360" w:lineRule="auto"/>
              <w:jc w:val="center"/>
              <w:rPr>
                <w:rFonts w:ascii="Arial" w:hAnsi="Arial" w:cs="Arial"/>
                <w:bCs/>
                <w:sz w:val="20"/>
                <w:szCs w:val="20"/>
              </w:rPr>
            </w:pPr>
          </w:p>
        </w:tc>
        <w:tc>
          <w:tcPr>
            <w:tcW w:w="1984" w:type="dxa"/>
            <w:vMerge w:val="continue"/>
            <w:vAlign w:val="center"/>
          </w:tcPr>
          <w:p>
            <w:pPr>
              <w:spacing w:line="360" w:lineRule="auto"/>
              <w:rPr>
                <w:rFonts w:ascii="Arial" w:hAnsi="Arial" w:cs="Arial"/>
                <w:bCs/>
                <w:sz w:val="20"/>
                <w:szCs w:val="20"/>
              </w:rPr>
            </w:pPr>
          </w:p>
        </w:tc>
        <w:tc>
          <w:tcPr>
            <w:tcW w:w="5614" w:type="dxa"/>
            <w:vAlign w:val="center"/>
          </w:tcPr>
          <w:p>
            <w:pPr>
              <w:spacing w:line="360" w:lineRule="auto"/>
              <w:rPr>
                <w:rFonts w:cs="Arial" w:asciiTheme="minorEastAsia" w:hAnsiTheme="minorEastAsia" w:eastAsiaTheme="minorEastAsia"/>
                <w:bCs/>
                <w:sz w:val="20"/>
                <w:szCs w:val="20"/>
              </w:rPr>
            </w:pPr>
            <w:r>
              <w:rPr>
                <w:rFonts w:hint="eastAsia" w:ascii="宋体" w:hAnsi="宋体" w:eastAsia="宋体" w:cs="宋体"/>
                <w:bCs/>
                <w:sz w:val="20"/>
                <w:szCs w:val="20"/>
              </w:rPr>
              <w:t>节能产品：是指列入财政部、国家发改委最新公布的</w:t>
            </w:r>
            <w:r>
              <w:rPr>
                <w:rFonts w:hint="eastAsia" w:ascii="宋体" w:hAnsi="宋体" w:eastAsia="宋体" w:cs="宋体"/>
                <w:bCs/>
                <w:sz w:val="20"/>
                <w:szCs w:val="20"/>
                <w:lang w:eastAsia="zh-CN"/>
              </w:rPr>
              <w:t>品目清单范围</w:t>
            </w:r>
            <w:r>
              <w:rPr>
                <w:rFonts w:hint="eastAsia" w:ascii="宋体" w:hAnsi="宋体" w:eastAsia="宋体" w:cs="宋体"/>
                <w:bCs/>
                <w:sz w:val="20"/>
                <w:szCs w:val="20"/>
              </w:rPr>
              <w:t>内的产品</w:t>
            </w:r>
            <w:r>
              <w:rPr>
                <w:rFonts w:hint="eastAsia" w:ascii="宋体" w:hAnsi="宋体" w:eastAsia="宋体" w:cs="宋体"/>
                <w:bCs/>
                <w:sz w:val="20"/>
                <w:szCs w:val="20"/>
                <w:lang w:eastAsia="zh-CN"/>
              </w:rPr>
              <w:t>（提供有效期内国家确定的认证机构出具的认证证书）</w:t>
            </w:r>
          </w:p>
        </w:tc>
        <w:tc>
          <w:tcPr>
            <w:tcW w:w="798" w:type="dxa"/>
            <w:vAlign w:val="center"/>
          </w:tcPr>
          <w:p>
            <w:pPr>
              <w:spacing w:line="360" w:lineRule="auto"/>
              <w:jc w:val="center"/>
              <w:rPr>
                <w:rFonts w:cs="Arial" w:asciiTheme="minorEastAsia" w:hAnsiTheme="minorEastAsia" w:eastAsiaTheme="minorEastAsia"/>
                <w:bCs/>
                <w:sz w:val="20"/>
                <w:szCs w:val="20"/>
              </w:rPr>
            </w:pPr>
            <w:r>
              <w:rPr>
                <w:rFonts w:hint="eastAsia" w:cs="Arial" w:asciiTheme="minorEastAsia" w:hAnsiTheme="minorEastAsia" w:eastAsiaTheme="minorEastAsia"/>
                <w:bCs/>
                <w:sz w:val="20"/>
                <w:szCs w:val="20"/>
              </w:rPr>
              <w:t>1</w:t>
            </w:r>
          </w:p>
        </w:tc>
      </w:tr>
    </w:tbl>
    <w:p>
      <w:pPr>
        <w:spacing w:line="360" w:lineRule="auto"/>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ind w:firstLine="5754" w:firstLineChars="2055"/>
        <w:rPr>
          <w:rFonts w:asciiTheme="minorEastAsia" w:hAnsiTheme="minorEastAsia" w:eastAsiaTheme="minorEastAsia"/>
          <w:sz w:val="28"/>
          <w:szCs w:val="24"/>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hint="eastAsia" w:asciiTheme="minorEastAsia" w:hAnsiTheme="minorEastAsia" w:eastAsiaTheme="minorEastAsia"/>
          <w:b/>
          <w:color w:val="FF0000"/>
          <w:sz w:val="24"/>
          <w:szCs w:val="28"/>
          <w:lang w:eastAsia="zh-CN"/>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lang w:eastAsia="zh-CN"/>
        </w:rPr>
        <w:t>全</w:t>
      </w:r>
      <w:r>
        <w:rPr>
          <w:rFonts w:asciiTheme="minorEastAsia" w:hAnsiTheme="minorEastAsia" w:eastAsiaTheme="minorEastAsia"/>
          <w:b/>
          <w:color w:val="FF0000"/>
          <w:sz w:val="24"/>
          <w:szCs w:val="28"/>
        </w:rPr>
        <w:t>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hint="eastAsia" w:asciiTheme="minorEastAsia" w:hAnsiTheme="minorEastAsia" w:eastAsiaTheme="minorEastAsia"/>
          <w:b/>
          <w:color w:val="FF0000"/>
          <w:sz w:val="24"/>
          <w:szCs w:val="28"/>
          <w:lang w:eastAsia="zh-CN"/>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lang w:eastAsia="zh-CN"/>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w:t>
      </w:r>
      <w:r>
        <w:rPr>
          <w:rFonts w:hint="eastAsia" w:asciiTheme="minorEastAsia" w:hAnsiTheme="minorEastAsia" w:eastAsiaTheme="minorEastAsia"/>
          <w:sz w:val="24"/>
          <w:szCs w:val="24"/>
          <w:lang w:eastAsia="zh-CN"/>
        </w:rPr>
        <w:t>伍</w:t>
      </w:r>
      <w:r>
        <w:rPr>
          <w:rFonts w:hint="eastAsia" w:asciiTheme="minorEastAsia" w:hAnsiTheme="minorEastAsia" w:eastAsiaTheme="minorEastAsia"/>
          <w:sz w:val="24"/>
          <w:szCs w:val="24"/>
        </w:rPr>
        <w:t>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240" w:lineRule="atLeast"/>
        <w:rPr>
          <w:rFonts w:asciiTheme="minorEastAsia" w:hAnsiTheme="minorEastAsia" w:eastAsiaTheme="minorEastAsia"/>
          <w:sz w:val="24"/>
          <w:szCs w:val="28"/>
        </w:rPr>
      </w:pP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526"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37</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A5F29"/>
    <w:rsid w:val="000B08EC"/>
    <w:rsid w:val="000B0E83"/>
    <w:rsid w:val="000B538B"/>
    <w:rsid w:val="000C3635"/>
    <w:rsid w:val="000C6FE5"/>
    <w:rsid w:val="000C7C51"/>
    <w:rsid w:val="000D0163"/>
    <w:rsid w:val="000E7086"/>
    <w:rsid w:val="000E788C"/>
    <w:rsid w:val="000F4CEA"/>
    <w:rsid w:val="00100D01"/>
    <w:rsid w:val="00101A8A"/>
    <w:rsid w:val="0012092A"/>
    <w:rsid w:val="001225B3"/>
    <w:rsid w:val="00124A3C"/>
    <w:rsid w:val="00125C10"/>
    <w:rsid w:val="00133F83"/>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8C6"/>
    <w:rsid w:val="004A4F2D"/>
    <w:rsid w:val="004D01B7"/>
    <w:rsid w:val="004D1EB0"/>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453F"/>
    <w:rsid w:val="006045FD"/>
    <w:rsid w:val="006073C6"/>
    <w:rsid w:val="006160DD"/>
    <w:rsid w:val="006218B4"/>
    <w:rsid w:val="0063376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266D1"/>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7624"/>
    <w:rsid w:val="00A719C8"/>
    <w:rsid w:val="00A754E0"/>
    <w:rsid w:val="00A84971"/>
    <w:rsid w:val="00A86E20"/>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5AE3"/>
    <w:rsid w:val="00B97749"/>
    <w:rsid w:val="00B97E23"/>
    <w:rsid w:val="00BA0611"/>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DF1866"/>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44F0"/>
    <w:rsid w:val="00FF7A26"/>
    <w:rsid w:val="01653378"/>
    <w:rsid w:val="04F3430C"/>
    <w:rsid w:val="088E55CE"/>
    <w:rsid w:val="09C76800"/>
    <w:rsid w:val="0B4D26CA"/>
    <w:rsid w:val="0D7C3718"/>
    <w:rsid w:val="115B563A"/>
    <w:rsid w:val="12B449A4"/>
    <w:rsid w:val="14203AA5"/>
    <w:rsid w:val="1AD431DA"/>
    <w:rsid w:val="1B7E2C2A"/>
    <w:rsid w:val="1CE33DC9"/>
    <w:rsid w:val="216113F4"/>
    <w:rsid w:val="21F5111E"/>
    <w:rsid w:val="224B6541"/>
    <w:rsid w:val="23096FC0"/>
    <w:rsid w:val="23711F72"/>
    <w:rsid w:val="25F955C5"/>
    <w:rsid w:val="27342A22"/>
    <w:rsid w:val="2A4F58F6"/>
    <w:rsid w:val="2C257666"/>
    <w:rsid w:val="2FC97C01"/>
    <w:rsid w:val="2FD04905"/>
    <w:rsid w:val="32E2301D"/>
    <w:rsid w:val="33EA39A2"/>
    <w:rsid w:val="34112F1E"/>
    <w:rsid w:val="371B755E"/>
    <w:rsid w:val="376F7278"/>
    <w:rsid w:val="396219F1"/>
    <w:rsid w:val="3FCD3793"/>
    <w:rsid w:val="42B225BF"/>
    <w:rsid w:val="43990BAC"/>
    <w:rsid w:val="44E75DF0"/>
    <w:rsid w:val="499B07F7"/>
    <w:rsid w:val="4DE91A88"/>
    <w:rsid w:val="4F2170BC"/>
    <w:rsid w:val="52486388"/>
    <w:rsid w:val="52E50936"/>
    <w:rsid w:val="55772440"/>
    <w:rsid w:val="5A6E4628"/>
    <w:rsid w:val="5C49212E"/>
    <w:rsid w:val="5C746285"/>
    <w:rsid w:val="5D091239"/>
    <w:rsid w:val="5D140335"/>
    <w:rsid w:val="5EF67B50"/>
    <w:rsid w:val="61006171"/>
    <w:rsid w:val="62CD3F75"/>
    <w:rsid w:val="637C4756"/>
    <w:rsid w:val="66104FB2"/>
    <w:rsid w:val="67B062B6"/>
    <w:rsid w:val="68695016"/>
    <w:rsid w:val="692B1946"/>
    <w:rsid w:val="6F6D1C28"/>
    <w:rsid w:val="74E53E85"/>
    <w:rsid w:val="7612260D"/>
    <w:rsid w:val="77B1613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字符"/>
    <w:basedOn w:val="18"/>
    <w:link w:val="12"/>
    <w:qFormat/>
    <w:uiPriority w:val="99"/>
    <w:rPr>
      <w:rFonts w:ascii="Tahoma" w:hAnsi="Tahoma"/>
      <w:sz w:val="18"/>
      <w:szCs w:val="18"/>
    </w:rPr>
  </w:style>
  <w:style w:type="character" w:customStyle="1" w:styleId="23">
    <w:name w:val="页脚 字符"/>
    <w:basedOn w:val="18"/>
    <w:link w:val="11"/>
    <w:qFormat/>
    <w:uiPriority w:val="99"/>
    <w:rPr>
      <w:rFonts w:ascii="Tahoma" w:hAnsi="Tahoma"/>
      <w:sz w:val="18"/>
      <w:szCs w:val="18"/>
    </w:rPr>
  </w:style>
  <w:style w:type="character" w:customStyle="1" w:styleId="24">
    <w:name w:val="标题 1 字符"/>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字符"/>
    <w:basedOn w:val="18"/>
    <w:link w:val="4"/>
    <w:qFormat/>
    <w:uiPriority w:val="0"/>
    <w:rPr>
      <w:rFonts w:ascii="Times New Roman" w:hAnsi="Times New Roman" w:eastAsia="宋体" w:cs="Times New Roman"/>
      <w:b/>
      <w:bCs/>
      <w:kern w:val="2"/>
      <w:sz w:val="32"/>
      <w:szCs w:val="32"/>
    </w:rPr>
  </w:style>
  <w:style w:type="character" w:customStyle="1" w:styleId="28">
    <w:name w:val="标题 4 字符"/>
    <w:basedOn w:val="18"/>
    <w:link w:val="6"/>
    <w:qFormat/>
    <w:uiPriority w:val="9"/>
    <w:rPr>
      <w:rFonts w:ascii="Arial" w:hAnsi="Arial" w:eastAsia="黑体" w:cs="Arial"/>
      <w:b/>
      <w:bCs/>
      <w:kern w:val="2"/>
      <w:sz w:val="28"/>
      <w:szCs w:val="28"/>
    </w:rPr>
  </w:style>
  <w:style w:type="character" w:customStyle="1" w:styleId="29">
    <w:name w:val="标题 字符"/>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字符"/>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字符"/>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字符"/>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字符"/>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字符"/>
    <w:basedOn w:val="18"/>
    <w:link w:val="10"/>
    <w:semiHidden/>
    <w:qFormat/>
    <w:uiPriority w:val="99"/>
    <w:rPr>
      <w:rFonts w:ascii="Tahoma" w:hAnsi="Tahoma"/>
      <w:sz w:val="18"/>
      <w:szCs w:val="18"/>
    </w:rPr>
  </w:style>
  <w:style w:type="character" w:customStyle="1" w:styleId="45">
    <w:name w:val="批注文字 字符"/>
    <w:basedOn w:val="18"/>
    <w:link w:val="7"/>
    <w:semiHidden/>
    <w:qFormat/>
    <w:uiPriority w:val="99"/>
    <w:rPr>
      <w:rFonts w:ascii="Tahoma" w:hAnsi="Tahoma"/>
    </w:rPr>
  </w:style>
  <w:style w:type="character" w:customStyle="1" w:styleId="46">
    <w:name w:val="批注主题 字符"/>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FBBB86-6119-46B6-B275-F5948343395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37</Pages>
  <Words>2327</Words>
  <Characters>13269</Characters>
  <Lines>110</Lines>
  <Paragraphs>31</Paragraphs>
  <TotalTime>14</TotalTime>
  <ScaleCrop>false</ScaleCrop>
  <LinksUpToDate>false</LinksUpToDate>
  <CharactersWithSpaces>15565</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2019-01-02T10:48:00Z</dcterms:created>
  <dc:creator>chenle</dc:creator>
  <cp:lastModifiedBy>lenovo</cp:lastModifiedBy>
  <dcterms:modified xsi:type="dcterms:W3CDTF">2019-04-26T04:45:03Z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