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rPr>
      </w:pPr>
      <w:r>
        <w:rPr>
          <w:rFonts w:hint="eastAsia"/>
          <w:b/>
          <w:bCs/>
          <w:sz w:val="32"/>
        </w:rPr>
        <w:t>项目名称：</w:t>
      </w:r>
      <w:r>
        <w:rPr>
          <w:rFonts w:hint="eastAsia"/>
          <w:b/>
          <w:sz w:val="32"/>
          <w:szCs w:val="32"/>
        </w:rPr>
        <w:t>生命体征模拟器</w:t>
      </w:r>
      <w:r>
        <w:rPr>
          <w:rFonts w:hint="eastAsia" w:ascii="宋体" w:hAnsi="宋体" w:cs="宋体"/>
          <w:b/>
          <w:kern w:val="1"/>
          <w:sz w:val="32"/>
          <w:szCs w:val="32"/>
        </w:rPr>
        <w:t>购置</w:t>
      </w:r>
      <w:r>
        <w:rPr>
          <w:rFonts w:hint="eastAsia"/>
          <w:b/>
          <w:bCs/>
          <w:sz w:val="32"/>
          <w:szCs w:val="32"/>
        </w:rPr>
        <w:t>项目</w:t>
      </w:r>
    </w:p>
    <w:p>
      <w:pPr>
        <w:pStyle w:val="26"/>
        <w:ind w:firstLine="0"/>
        <w:jc w:val="center"/>
        <w:rPr>
          <w:b/>
          <w:bCs/>
          <w:sz w:val="32"/>
        </w:rPr>
      </w:pPr>
      <w:r>
        <w:rPr>
          <w:rFonts w:hint="eastAsia"/>
          <w:b/>
          <w:bCs/>
          <w:sz w:val="32"/>
        </w:rPr>
        <w:t>项目编号：njmu-20181122-3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w:t>
      </w:r>
      <w:r>
        <w:rPr>
          <w:rStyle w:val="19"/>
          <w:rFonts w:asciiTheme="majorEastAsia" w:hAnsiTheme="majorEastAsia" w:eastAsiaTheme="majorEastAsia"/>
          <w:sz w:val="24"/>
        </w:rPr>
        <w:t xml:space="preserve"> </w:t>
      </w:r>
      <w:r>
        <w:rPr>
          <w:rStyle w:val="19"/>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w:t>
      </w:r>
      <w:r>
        <w:rPr>
          <w:rStyle w:val="19"/>
          <w:rFonts w:asciiTheme="minorEastAsia" w:hAnsiTheme="minorEastAsia"/>
          <w:sz w:val="24"/>
        </w:rPr>
        <w:t xml:space="preserve"> </w:t>
      </w:r>
      <w:r>
        <w:rPr>
          <w:rStyle w:val="19"/>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w:t>
      </w:r>
      <w:r>
        <w:rPr>
          <w:rStyle w:val="19"/>
          <w:rFonts w:ascii="宋体" w:hAnsi="宋体"/>
          <w:sz w:val="24"/>
        </w:rPr>
        <w:t xml:space="preserve"> </w:t>
      </w:r>
      <w:r>
        <w:rPr>
          <w:rStyle w:val="19"/>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w:t>
      </w:r>
      <w:r>
        <w:rPr>
          <w:rStyle w:val="19"/>
          <w:rFonts w:ascii="宋体" w:hAnsi="宋体"/>
          <w:sz w:val="24"/>
        </w:rPr>
        <w:t xml:space="preserve"> </w:t>
      </w:r>
      <w:r>
        <w:rPr>
          <w:rStyle w:val="19"/>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val="en-US" w:eastAsia="zh-CN"/>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lang w:val="en-US" w:eastAsia="zh-CN"/>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生命体征模拟器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（一）采购项目名称：生命体征模拟器购置项目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（二）采购项目编号：njmu-20181122-3</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:16.9万元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投标文件接收开始时间：2018年11月22日上午8:30（北京时间）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投标文件接收截止时间：2018年11月22日上午9:15前（北京时间）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开标时间：2018年11月22日上午9:15（北京时间）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刘老师</w:t>
      </w:r>
      <w:r>
        <w:rPr>
          <w:rFonts w:hint="eastAsia" w:asciiTheme="minorEastAsia" w:hAnsiTheme="minorEastAsia" w:eastAsiaTheme="minorEastAsia"/>
          <w:sz w:val="24"/>
          <w:szCs w:val="24"/>
        </w:rPr>
        <w:t xml:space="preserve">           电话：15240225757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16938519"/>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20823277"/>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20823279"/>
      <w:bookmarkStart w:id="39" w:name="_Toc16938523"/>
      <w:bookmarkStart w:id="40" w:name="_Toc51302920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20823281"/>
      <w:bookmarkStart w:id="43" w:name="_Toc16938525"/>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462564070"/>
      <w:bookmarkStart w:id="51" w:name="_Toc16938527"/>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513029213"/>
      <w:bookmarkStart w:id="59" w:name="_Toc16938529"/>
      <w:bookmarkStart w:id="60" w:name="_Toc20823285"/>
      <w:bookmarkStart w:id="61" w:name="_Toc120614216"/>
      <w:bookmarkStart w:id="62" w:name="_Toc462564072"/>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513029215"/>
      <w:bookmarkStart w:id="68" w:name="_Toc462564074"/>
      <w:bookmarkStart w:id="69" w:name="_Toc20823287"/>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6"/>
        <w:rPr>
          <w:b/>
          <w:bCs/>
          <w:sz w:val="28"/>
          <w:szCs w:val="28"/>
        </w:rPr>
      </w:pPr>
      <w:bookmarkStart w:id="71" w:name="_Hlt26954838"/>
      <w:bookmarkEnd w:id="71"/>
      <w:bookmarkStart w:id="72" w:name="_Hlt26670360"/>
      <w:bookmarkEnd w:id="72"/>
      <w:bookmarkStart w:id="73" w:name="_Hlt26668975"/>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118" w:firstLineChars="49"/>
        <w:rPr>
          <w:rFonts w:asciiTheme="minorEastAsia" w:hAnsiTheme="minorEastAsia" w:eastAsiaTheme="minorEastAsia"/>
          <w:b/>
          <w:sz w:val="24"/>
          <w:szCs w:val="24"/>
        </w:rPr>
      </w:pPr>
    </w:p>
    <w:p>
      <w:pPr>
        <w:pStyle w:val="32"/>
        <w:spacing w:line="360" w:lineRule="auto"/>
        <w:ind w:firstLine="118" w:firstLineChars="49"/>
        <w:rPr>
          <w:rFonts w:cs="宋体" w:asciiTheme="minorEastAsia" w:hAnsiTheme="minorEastAsia" w:eastAsiaTheme="minorEastAsia"/>
          <w:b/>
          <w:color w:val="FF0000"/>
          <w:sz w:val="24"/>
          <w:szCs w:val="24"/>
        </w:rPr>
      </w:pPr>
      <w:r>
        <w:rPr>
          <w:rFonts w:asciiTheme="minorEastAsia" w:hAnsiTheme="minorEastAsia" w:eastAsiaTheme="minorEastAsia"/>
          <w:b/>
          <w:color w:val="FF0000"/>
          <w:sz w:val="24"/>
          <w:szCs w:val="24"/>
        </w:rPr>
        <w:t>备注：标注“</w:t>
      </w:r>
      <w:r>
        <w:rPr>
          <w:rFonts w:cs="Xingkai SC Bold" w:asciiTheme="minorEastAsia" w:hAnsiTheme="minorEastAsia" w:eastAsiaTheme="minorEastAsia"/>
          <w:b/>
          <w:color w:val="FF0000"/>
          <w:sz w:val="24"/>
          <w:szCs w:val="24"/>
        </w:rPr>
        <w:t>★</w:t>
      </w:r>
      <w:r>
        <w:rPr>
          <w:rFonts w:asciiTheme="minorEastAsia" w:hAnsiTheme="minorEastAsia" w:eastAsiaTheme="minorEastAsia"/>
          <w:b/>
          <w:color w:val="FF0000"/>
          <w:sz w:val="24"/>
          <w:szCs w:val="24"/>
        </w:rPr>
        <w:t>”的内容为实质性</w:t>
      </w:r>
      <w:r>
        <w:rPr>
          <w:rFonts w:hint="eastAsia" w:asciiTheme="minorEastAsia" w:hAnsiTheme="minorEastAsia" w:eastAsiaTheme="minorEastAsia"/>
          <w:b/>
          <w:color w:val="FF0000"/>
          <w:sz w:val="24"/>
          <w:szCs w:val="24"/>
        </w:rPr>
        <w:t>需求</w:t>
      </w:r>
      <w:r>
        <w:rPr>
          <w:rFonts w:asciiTheme="minorEastAsia" w:hAnsiTheme="minorEastAsia" w:eastAsiaTheme="minorEastAsia"/>
          <w:b/>
          <w:color w:val="FF0000"/>
          <w:sz w:val="24"/>
          <w:szCs w:val="24"/>
        </w:rPr>
        <w:t>，有一项不符合的，作无效投标处理</w:t>
      </w:r>
      <w:r>
        <w:rPr>
          <w:rFonts w:hint="eastAsia" w:asciiTheme="minorEastAsia" w:hAnsiTheme="minorEastAsia" w:eastAsiaTheme="minorEastAsia"/>
          <w:b/>
          <w:color w:val="FF0000"/>
          <w:sz w:val="24"/>
          <w:szCs w:val="24"/>
        </w:rPr>
        <w:t>。</w:t>
      </w:r>
    </w:p>
    <w:p>
      <w:pPr>
        <w:spacing w:line="360" w:lineRule="auto"/>
        <w:ind w:firstLine="419" w:firstLineChars="149"/>
        <w:rPr>
          <w:rFonts w:asciiTheme="minorEastAsia" w:hAnsiTheme="minorEastAsia" w:eastAsiaTheme="minorEastAsia"/>
          <w:b/>
          <w:sz w:val="28"/>
          <w:szCs w:val="28"/>
        </w:rPr>
      </w:pPr>
      <w:r>
        <w:rPr>
          <w:rFonts w:hint="eastAsia" w:asciiTheme="minorEastAsia" w:hAnsiTheme="minorEastAsia" w:eastAsiaTheme="minorEastAsia"/>
          <w:b/>
          <w:bCs/>
          <w:sz w:val="28"/>
          <w:szCs w:val="28"/>
        </w:rPr>
        <w:t>一、项目</w:t>
      </w:r>
      <w:r>
        <w:rPr>
          <w:rFonts w:hint="eastAsia" w:asciiTheme="minorEastAsia" w:hAnsiTheme="minorEastAsia" w:eastAsiaTheme="minorEastAsia"/>
          <w:b/>
          <w:sz w:val="28"/>
          <w:szCs w:val="28"/>
        </w:rPr>
        <w:t>技术参数：</w:t>
      </w:r>
      <w:bookmarkStart w:id="180" w:name="_GoBack"/>
      <w:bookmarkEnd w:id="180"/>
    </w:p>
    <w:p>
      <w:pPr>
        <w:pStyle w:val="32"/>
        <w:widowControl w:val="0"/>
        <w:adjustRightInd/>
        <w:snapToGrid/>
        <w:spacing w:after="0"/>
        <w:ind w:left="420" w:firstLine="0" w:firstLineChars="0"/>
        <w:jc w:val="both"/>
        <w:rPr>
          <w:rFonts w:asciiTheme="minorEastAsia" w:hAnsiTheme="minorEastAsia" w:eastAsiaTheme="minorEastAsia"/>
          <w:sz w:val="28"/>
          <w:szCs w:val="28"/>
        </w:rPr>
      </w:pPr>
      <w:r>
        <w:rPr>
          <w:rFonts w:hint="eastAsia" w:cs="宋体" w:asciiTheme="minorEastAsia" w:hAnsiTheme="minorEastAsia" w:eastAsiaTheme="minorEastAsia"/>
          <w:color w:val="000000"/>
          <w:sz w:val="28"/>
          <w:szCs w:val="28"/>
        </w:rPr>
        <w:t>★1、</w:t>
      </w:r>
      <w:r>
        <w:rPr>
          <w:rFonts w:hint="eastAsia" w:asciiTheme="minorEastAsia" w:hAnsiTheme="minorEastAsia" w:eastAsiaTheme="minorEastAsia"/>
          <w:sz w:val="28"/>
          <w:szCs w:val="28"/>
        </w:rPr>
        <w:t>多合一，集多种生命体征模拟于一体：心电（含胎儿心电）、呼吸、血氧含量、无创血压、有创血压、体温以及Masimo彩虹技术。多种生命体征同时模拟。</w:t>
      </w:r>
    </w:p>
    <w:p>
      <w:pPr>
        <w:pStyle w:val="32"/>
        <w:widowControl w:val="0"/>
        <w:adjustRightInd/>
        <w:snapToGrid/>
        <w:spacing w:after="0"/>
        <w:ind w:left="420" w:leftChars="191" w:firstLine="280" w:firstLineChars="1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2、便携：所有附件与主机一起能够存放在一个便携包内，重量&lt; 1.9KG。采用智能锂电池供电，电池可拆卸独立充电，工作时间10小时以上。</w:t>
      </w:r>
    </w:p>
    <w:p>
      <w:pPr>
        <w:pStyle w:val="32"/>
        <w:widowControl w:val="0"/>
        <w:adjustRightInd/>
        <w:snapToGrid/>
        <w:spacing w:after="0"/>
        <w:ind w:left="420" w:firstLine="0" w:firstLineChars="0"/>
        <w:jc w:val="both"/>
        <w:rPr>
          <w:rFonts w:asciiTheme="minorEastAsia" w:hAnsiTheme="minorEastAsia" w:eastAsiaTheme="minorEastAsia"/>
          <w:sz w:val="28"/>
          <w:szCs w:val="28"/>
        </w:rPr>
      </w:pPr>
      <w:r>
        <w:rPr>
          <w:rFonts w:hint="eastAsia" w:cs="宋体" w:asciiTheme="minorEastAsia" w:hAnsiTheme="minorEastAsia" w:eastAsiaTheme="minorEastAsia"/>
          <w:color w:val="000000"/>
          <w:sz w:val="28"/>
          <w:szCs w:val="28"/>
        </w:rPr>
        <w:t>★3、</w:t>
      </w:r>
      <w:r>
        <w:rPr>
          <w:rFonts w:hint="eastAsia" w:asciiTheme="minorEastAsia" w:hAnsiTheme="minorEastAsia" w:eastAsiaTheme="minorEastAsia"/>
          <w:sz w:val="28"/>
          <w:szCs w:val="28"/>
        </w:rPr>
        <w:t>带有中文操作界面的多语言界面，彩色LCD大屏幕，背光可调，字体大而清晰，菜单显示一目了然，设有功能按键、菜单按键和导航按键，操作方便。</w:t>
      </w:r>
    </w:p>
    <w:p>
      <w:pPr>
        <w:pStyle w:val="32"/>
        <w:widowControl w:val="0"/>
        <w:adjustRightInd/>
        <w:snapToGrid/>
        <w:spacing w:after="0"/>
        <w:ind w:left="420" w:leftChars="191" w:firstLine="280" w:firstLineChars="1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4、预定义多种病人状态：正常、高血压、低血压、、心动过速、心动过缓、心脏病发作、心律停止等，用户也可自定义各类病人状态，在检测过程中可直接调用已保存的病人状态。</w:t>
      </w:r>
    </w:p>
    <w:p>
      <w:pPr>
        <w:pStyle w:val="32"/>
        <w:widowControl w:val="0"/>
        <w:adjustRightInd/>
        <w:snapToGrid/>
        <w:spacing w:after="0"/>
        <w:ind w:left="420" w:firstLine="0" w:firstLineChars="0"/>
        <w:jc w:val="both"/>
        <w:rPr>
          <w:rFonts w:asciiTheme="minorEastAsia" w:hAnsiTheme="minorEastAsia" w:eastAsiaTheme="minorEastAsia"/>
          <w:sz w:val="28"/>
          <w:szCs w:val="28"/>
        </w:rPr>
      </w:pPr>
      <w:r>
        <w:rPr>
          <w:rFonts w:hint="eastAsia" w:cs="宋体" w:asciiTheme="minorEastAsia" w:hAnsiTheme="minorEastAsia" w:eastAsiaTheme="minorEastAsia"/>
          <w:color w:val="000000"/>
          <w:sz w:val="28"/>
          <w:szCs w:val="28"/>
        </w:rPr>
        <w:t>★5、</w:t>
      </w:r>
      <w:r>
        <w:rPr>
          <w:rFonts w:hint="eastAsia" w:asciiTheme="minorEastAsia" w:hAnsiTheme="minorEastAsia" w:eastAsiaTheme="minorEastAsia"/>
          <w:sz w:val="28"/>
          <w:szCs w:val="28"/>
        </w:rPr>
        <w:t>单机可实现自动化检测，用户也可以自定义检测序列。</w:t>
      </w:r>
    </w:p>
    <w:p>
      <w:pPr>
        <w:pStyle w:val="32"/>
        <w:widowControl w:val="0"/>
        <w:adjustRightInd/>
        <w:snapToGrid/>
        <w:spacing w:after="0"/>
        <w:ind w:left="420" w:leftChars="191" w:firstLine="280" w:firstLineChars="1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6、配合计算机软件可以实现计算机自动控制检测流程，自动测试软件必须含有必要的文字和图形操作提示。</w:t>
      </w:r>
    </w:p>
    <w:p>
      <w:pPr>
        <w:pStyle w:val="32"/>
        <w:widowControl w:val="0"/>
        <w:adjustRightInd/>
        <w:snapToGrid/>
        <w:spacing w:after="0"/>
        <w:ind w:left="420" w:leftChars="191" w:firstLine="280" w:firstLineChars="1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7、接口：连接计算机进行数据通讯和自动化控制；连接条形码扫描器和键盘，可直接连接打印机；示波器接口，High level 心电图输出；区别于蓝牙的无线连接功能，抗蓝牙干扰。</w:t>
      </w:r>
    </w:p>
    <w:p>
      <w:pPr>
        <w:widowControl w:val="0"/>
        <w:adjustRightInd/>
        <w:snapToGrid/>
        <w:spacing w:after="0"/>
        <w:ind w:left="422" w:leftChars="192"/>
        <w:jc w:val="both"/>
        <w:rPr>
          <w:rFonts w:asciiTheme="minorEastAsia" w:hAnsiTheme="minorEastAsia" w:eastAsiaTheme="minorEastAsia"/>
          <w:sz w:val="28"/>
          <w:szCs w:val="28"/>
        </w:rPr>
      </w:pPr>
      <w:r>
        <w:rPr>
          <w:rFonts w:hint="eastAsia" w:cs="宋体" w:asciiTheme="minorEastAsia" w:hAnsiTheme="minorEastAsia" w:eastAsiaTheme="minorEastAsia"/>
          <w:sz w:val="28"/>
          <w:szCs w:val="28"/>
        </w:rPr>
        <w:t>★8、</w:t>
      </w:r>
      <w:r>
        <w:rPr>
          <w:rFonts w:hint="eastAsia" w:asciiTheme="minorEastAsia" w:hAnsiTheme="minorEastAsia" w:eastAsiaTheme="minorEastAsia"/>
          <w:sz w:val="28"/>
          <w:szCs w:val="28"/>
        </w:rPr>
        <w:t>制造工厂通过ISO13485:2003医疗器械质量管理体系认证，和ISO9001:2000质量体系认证。</w:t>
      </w:r>
    </w:p>
    <w:p>
      <w:pPr>
        <w:pStyle w:val="32"/>
        <w:widowControl w:val="0"/>
        <w:adjustRightInd/>
        <w:snapToGrid/>
        <w:spacing w:after="0"/>
        <w:ind w:left="420" w:firstLine="0" w:firstLineChars="0"/>
        <w:jc w:val="both"/>
        <w:rPr>
          <w:rFonts w:asciiTheme="minorEastAsia" w:hAnsiTheme="minorEastAsia" w:eastAsiaTheme="minorEastAsia"/>
          <w:sz w:val="28"/>
          <w:szCs w:val="28"/>
        </w:rPr>
      </w:pPr>
      <w:r>
        <w:rPr>
          <w:rFonts w:hint="eastAsia" w:cs="宋体" w:asciiTheme="minorEastAsia" w:hAnsiTheme="minorEastAsia" w:eastAsiaTheme="minorEastAsia"/>
          <w:sz w:val="28"/>
          <w:szCs w:val="28"/>
        </w:rPr>
        <w:t>★9、</w:t>
      </w:r>
      <w:r>
        <w:rPr>
          <w:rFonts w:hint="eastAsia" w:asciiTheme="minorEastAsia" w:hAnsiTheme="minorEastAsia" w:eastAsiaTheme="minorEastAsia"/>
          <w:sz w:val="28"/>
          <w:szCs w:val="28"/>
        </w:rPr>
        <w:t>在国内直接设立售后服务机构，服务机构具有ISO/IEC 17025:2005检测和校准实验室能力认证，并通过ISO9000的认证。</w:t>
      </w:r>
    </w:p>
    <w:p>
      <w:pPr>
        <w:pStyle w:val="32"/>
        <w:numPr>
          <w:ilvl w:val="0"/>
          <w:numId w:val="3"/>
        </w:numPr>
        <w:ind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具体模拟参数指标：</w:t>
      </w:r>
    </w:p>
    <w:p>
      <w:pPr>
        <w:pStyle w:val="32"/>
        <w:widowControl w:val="0"/>
        <w:adjustRightInd/>
        <w:snapToGrid/>
        <w:spacing w:after="0"/>
        <w:ind w:left="420" w:firstLine="0" w:firstLineChars="0"/>
        <w:jc w:val="both"/>
        <w:rPr>
          <w:rFonts w:asciiTheme="minorEastAsia" w:hAnsiTheme="minorEastAsia" w:eastAsiaTheme="minorEastAsia"/>
          <w:b/>
          <w:sz w:val="28"/>
          <w:szCs w:val="28"/>
        </w:rPr>
      </w:pPr>
      <w:r>
        <w:rPr>
          <w:rFonts w:hint="eastAsia" w:asciiTheme="minorEastAsia" w:hAnsiTheme="minorEastAsia" w:eastAsiaTheme="minorEastAsia"/>
          <w:b/>
          <w:sz w:val="28"/>
          <w:szCs w:val="28"/>
        </w:rPr>
        <w:t>1、心电模拟性能：</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12导联图形输出，10个通用心电图导联线接线柱，不需要任何转接适配器，并采用颜色标记AAMI与IEC标准连接方法；</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心率设置范围：10bpm~360bpm，以1bpm递增，精度为设置的1%；</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幅值：0.05mV~0.5mV（以0.05mV递增），0.5mV~5mV（以0.25mV递增），精度为设置的2%+0.05mV；</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ST段抬高：仅成人模式：-0.8 mV 到 +0.8 mV（以 0.1 mV 递增）。 其他增量：+ 0.05 mV 与 -0.05 mV</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50多种心律失常波形：包括了PVC 病灶、室上心律不齐、房性心动过速、早搏心律不齐、室性心律不齐、频繁的多源性 PVC、二联脉、三联脉、多个 PVC（一次进行 2、5 或 11 个 PVC）；室颤 （粗或细）以及心律停止、传导缺陷等，每类波形还可进行更细致设定。</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在模拟器屏幕可显示设定的波形，实际检测时，可用来与被检测设备对比。</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性能波形：可模拟方波、三角波、正弦波及脉冲波四种类型，幅值：0.05 mV 到 0.5 mV（以 0.05 mV 递增），0.5 mV 到 5 mV（以 0.25 mV 递增）；脉冲波：30 BPM、60 BPM，脉冲宽度为60毫秒；方波：0.125 Hz、2 Hz、2.5 Hz；三角波：0.125 Hz、2 Hz、2.5 Hz；正弦波：0.05 Hz、0.5 Hz、1 Hz、2 Hz、5 Hz、10 Hz、25 Hz、30 Hz、 40 Hz、50 Hz、60 Hz、100 Hz 与 150 Hz等。</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R 波检测：波形为三角波脉冲，速率包括30 BPM、60 BPM、80 BPM、 120 BPM、200 BPM 与 250 BPM，宽度从8 毫秒到 20 毫秒（以 2 毫秒递增），及 20 毫秒到 200 毫秒 （以 10 毫秒递增），宽度精度为± (设置的 1 %+ 1 毫秒)</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QRS 检测：速率为30 BPM、60 BPM、80 BPM、 120 BPM、200 BPM 与 250 BPM，宽度从8 毫秒到 20 毫秒（以 2 毫秒递增），及 20 毫秒到 200 毫秒 （以 10 毫秒递增），宽度精度± (设置的 1% + 1 毫秒)，波上坡为0.875 幅值，0.4375 x 宽度，R 波下坡为全幅值，0.5 x 宽度，S 波上坡为0.125 幅值，0.0625 x 宽度</w:t>
      </w:r>
    </w:p>
    <w:p>
      <w:pPr>
        <w:pStyle w:val="32"/>
        <w:widowControl w:val="0"/>
        <w:numPr>
          <w:ilvl w:val="0"/>
          <w:numId w:val="4"/>
        </w:numPr>
        <w:adjustRightInd/>
        <w:snapToGrid/>
        <w:spacing w:after="0"/>
        <w:ind w:firstLineChars="0"/>
        <w:jc w:val="both"/>
        <w:rPr>
          <w:rFonts w:asciiTheme="minorEastAsia" w:hAnsiTheme="minorEastAsia" w:eastAsiaTheme="minorEastAsia"/>
          <w:b/>
          <w:sz w:val="28"/>
          <w:szCs w:val="28"/>
        </w:rPr>
      </w:pPr>
      <w:r>
        <w:rPr>
          <w:rFonts w:hint="eastAsia" w:asciiTheme="minorEastAsia" w:hAnsiTheme="minorEastAsia" w:eastAsiaTheme="minorEastAsia"/>
          <w:b/>
          <w:sz w:val="28"/>
          <w:szCs w:val="28"/>
        </w:rPr>
        <w:t>无创血压测试性能：</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血压计（压力计）：范围：10 毫米汞柱到 400 毫米汞柱，精度± (0.5 % 读数 + 0.5 毫米汞柱)</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无创血压模拟：动态模拟（收缩/舒张压），收缩与舒张压均可变，以 1 毫米汞柱为单位变化。</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sz w:val="28"/>
          <w:szCs w:val="28"/>
        </w:rPr>
        <w:t>可重复性：±2毫米汞柱之内（独立于受测设备在最大脉冲振幅时）</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泄漏测试：泄漏率：0 毫米汞柱/分钟到 200 毫米汞柱/分钟</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释压测试范围：100到400毫米汞柱</w:t>
      </w:r>
    </w:p>
    <w:p>
      <w:pPr>
        <w:pStyle w:val="32"/>
        <w:widowControl w:val="0"/>
        <w:numPr>
          <w:ilvl w:val="0"/>
          <w:numId w:val="4"/>
        </w:numPr>
        <w:adjustRightInd/>
        <w:snapToGrid/>
        <w:spacing w:after="0"/>
        <w:ind w:firstLineChars="0"/>
        <w:jc w:val="both"/>
        <w:rPr>
          <w:rFonts w:asciiTheme="minorEastAsia" w:hAnsiTheme="minorEastAsia" w:eastAsiaTheme="minorEastAsia"/>
          <w:b/>
          <w:sz w:val="28"/>
          <w:szCs w:val="28"/>
        </w:rPr>
      </w:pPr>
      <w:r>
        <w:rPr>
          <w:rFonts w:hint="eastAsia" w:asciiTheme="minorEastAsia" w:hAnsiTheme="minorEastAsia" w:eastAsiaTheme="minorEastAsia"/>
          <w:b/>
          <w:sz w:val="28"/>
          <w:szCs w:val="28"/>
        </w:rPr>
        <w:t>其他模拟参数：</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呼吸模拟：速率范围：</w:t>
      </w:r>
      <w:r>
        <w:rPr>
          <w:rFonts w:asciiTheme="minorEastAsia" w:hAnsiTheme="minorEastAsia" w:eastAsiaTheme="minorEastAsia"/>
          <w:sz w:val="28"/>
          <w:szCs w:val="28"/>
        </w:rPr>
        <w:t>0</w:t>
      </w:r>
      <w:r>
        <w:rPr>
          <w:rFonts w:hint="eastAsia" w:asciiTheme="minorEastAsia" w:hAnsiTheme="minorEastAsia" w:eastAsiaTheme="minorEastAsia"/>
          <w:sz w:val="28"/>
          <w:szCs w:val="28"/>
        </w:rPr>
        <w:t>（关），</w:t>
      </w:r>
      <w:r>
        <w:rPr>
          <w:rFonts w:asciiTheme="minorEastAsia" w:hAnsiTheme="minorEastAsia" w:eastAsiaTheme="minorEastAsia"/>
          <w:sz w:val="28"/>
          <w:szCs w:val="28"/>
        </w:rPr>
        <w:t>1</w:t>
      </w:r>
      <w:r>
        <w:rPr>
          <w:rFonts w:hint="eastAsia" w:asciiTheme="minorEastAsia" w:hAnsiTheme="minorEastAsia" w:eastAsiaTheme="minorEastAsia"/>
          <w:sz w:val="28"/>
          <w:szCs w:val="28"/>
        </w:rPr>
        <w:t>0</w:t>
      </w:r>
      <w:r>
        <w:rPr>
          <w:rFonts w:asciiTheme="minorEastAsia" w:hAnsiTheme="minorEastAsia" w:eastAsiaTheme="minorEastAsia"/>
          <w:sz w:val="28"/>
          <w:szCs w:val="28"/>
        </w:rPr>
        <w:t xml:space="preserve"> BPM </w:t>
      </w:r>
      <w:r>
        <w:rPr>
          <w:rFonts w:hint="eastAsia" w:asciiTheme="minorEastAsia" w:hAnsiTheme="minorEastAsia" w:eastAsiaTheme="minorEastAsia"/>
          <w:sz w:val="28"/>
          <w:szCs w:val="28"/>
        </w:rPr>
        <w:t>到</w:t>
      </w:r>
      <w:r>
        <w:rPr>
          <w:rFonts w:asciiTheme="minorEastAsia" w:hAnsiTheme="minorEastAsia" w:eastAsiaTheme="minorEastAsia"/>
          <w:sz w:val="28"/>
          <w:szCs w:val="28"/>
        </w:rPr>
        <w:t xml:space="preserve"> 150 BPM</w:t>
      </w:r>
      <w:r>
        <w:rPr>
          <w:rFonts w:hint="eastAsia" w:asciiTheme="minorEastAsia" w:hAnsiTheme="minorEastAsia" w:eastAsiaTheme="minorEastAsia"/>
          <w:sz w:val="28"/>
          <w:szCs w:val="28"/>
        </w:rPr>
        <w:t>，以</w:t>
      </w:r>
      <w:r>
        <w:rPr>
          <w:rFonts w:asciiTheme="minorEastAsia" w:hAnsiTheme="minorEastAsia" w:eastAsiaTheme="minorEastAsia"/>
          <w:sz w:val="28"/>
          <w:szCs w:val="28"/>
        </w:rPr>
        <w:t xml:space="preserve"> 1 BPM </w:t>
      </w:r>
      <w:r>
        <w:rPr>
          <w:rFonts w:hint="eastAsia" w:asciiTheme="minorEastAsia" w:hAnsiTheme="minorEastAsia" w:eastAsiaTheme="minorEastAsia"/>
          <w:sz w:val="28"/>
          <w:szCs w:val="28"/>
        </w:rPr>
        <w:t>递增；</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两个通道的有创压力模拟：-10mmHg~+300mmHg，步进1mmHg；</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体温模拟：30℃~42℃，步进0.5℃；</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心输出量：热稀释法，注射温度0℃、24℃；输出量：2.5L、5L、10L。</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胎儿心率模拟：胎儿心率60~240BPM，步进1BPM，以及随宫内压变化的胎儿心率模拟；</w:t>
      </w:r>
    </w:p>
    <w:p>
      <w:pPr>
        <w:pStyle w:val="32"/>
        <w:widowControl w:val="0"/>
        <w:numPr>
          <w:ilvl w:val="1"/>
          <w:numId w:val="4"/>
        </w:numPr>
        <w:adjustRightInd/>
        <w:snapToGrid/>
        <w:spacing w:after="0"/>
        <w:ind w:firstLineChars="0"/>
        <w:jc w:val="both"/>
        <w:rPr>
          <w:rFonts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Masimo彩虹技术模拟：用于模拟Masimo多波长测量技术。</w:t>
      </w:r>
    </w:p>
    <w:p>
      <w:pPr>
        <w:widowControl w:val="0"/>
        <w:adjustRightInd/>
        <w:snapToGrid/>
        <w:spacing w:after="0"/>
        <w:ind w:left="420"/>
        <w:jc w:val="both"/>
        <w:rPr>
          <w:rFonts w:asciiTheme="minorEastAsia" w:hAnsiTheme="minorEastAsia" w:eastAsiaTheme="minorEastAsia"/>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3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rPr>
          <w:rFonts w:cs="Times New Roman" w:asciiTheme="minorEastAsia" w:hAnsiTheme="minorEastAsia" w:eastAsiaTheme="minorEastAsia"/>
          <w:kern w:val="2"/>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r>
        <w:rPr>
          <w:rFonts w:asciiTheme="minorEastAsia" w:hAnsiTheme="minorEastAsia" w:eastAsiaTheme="minorEastAsia"/>
          <w:bCs/>
          <w:sz w:val="28"/>
          <w:szCs w:val="28"/>
        </w:rPr>
        <w:t xml:space="preserve"> </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ind w:firstLine="413" w:firstLineChars="14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jc w:val="left"/>
        <w:rPr>
          <w:rFonts w:asciiTheme="minorEastAsia" w:hAnsiTheme="minorEastAsia" w:eastAsiaTheme="minorEastAsia"/>
          <w:b/>
          <w:bCs/>
          <w:sz w:val="44"/>
          <w:szCs w:val="44"/>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hint="eastAsia" w:ascii="宋体" w:hAnsi="宋体" w:eastAsia="宋体"/>
          <w:b/>
          <w:bCs/>
          <w:sz w:val="44"/>
          <w:szCs w:val="44"/>
        </w:rPr>
      </w:pPr>
      <w:bookmarkStart w:id="166" w:name="_Toc523931348"/>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4"/>
              </w:rPr>
            </w:pPr>
            <w:r>
              <w:rPr>
                <w:rFonts w:ascii="Arial" w:hAnsi="Arial" w:cs="Arial"/>
                <w:bCs/>
                <w:sz w:val="24"/>
              </w:rPr>
              <w:t>1</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（30分）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4"/>
              </w:rPr>
            </w:pPr>
            <w:r>
              <w:rPr>
                <w:rFonts w:ascii="Arial" w:hAnsi="Arial" w:cs="Arial"/>
                <w:bCs/>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4"/>
              </w:rPr>
            </w:pPr>
            <w:r>
              <w:rPr>
                <w:rFonts w:ascii="Arial" w:hAnsi="Arial" w:cs="Arial"/>
                <w:bCs/>
                <w:sz w:val="24"/>
              </w:rPr>
              <w:t>2</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根据各投标产品的先进性、匹配性、可靠性、稳定性以及质量、性能酌情打分，较好4-5分，一般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分，其他不得分。</w:t>
            </w:r>
          </w:p>
        </w:tc>
        <w:tc>
          <w:tcPr>
            <w:tcW w:w="798" w:type="dxa"/>
            <w:vAlign w:val="center"/>
          </w:tcPr>
          <w:p>
            <w:pPr>
              <w:spacing w:line="360" w:lineRule="auto"/>
              <w:ind w:firstLine="120" w:firstLineChars="50"/>
              <w:rPr>
                <w:rFonts w:ascii="Arial" w:hAnsi="Arial" w:cs="Arial"/>
                <w:bCs/>
                <w:sz w:val="24"/>
              </w:rPr>
            </w:pPr>
            <w:r>
              <w:rPr>
                <w:rFonts w:hint="eastAsia" w:ascii="Arial" w:hAnsi="Arial"/>
                <w:bCs/>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6" w:hRule="atLeast"/>
        </w:trPr>
        <w:tc>
          <w:tcPr>
            <w:tcW w:w="534" w:type="dxa"/>
            <w:vMerge w:val="continue"/>
            <w:vAlign w:val="center"/>
          </w:tcPr>
          <w:p>
            <w:pPr>
              <w:spacing w:line="360" w:lineRule="auto"/>
              <w:jc w:val="center"/>
              <w:rPr>
                <w:rFonts w:ascii="Arial" w:hAnsi="Arial" w:cs="Arial"/>
                <w:bCs/>
                <w:sz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w:t>
            </w:r>
          </w:p>
          <w:p>
            <w:pPr>
              <w:spacing w:line="360" w:lineRule="auto"/>
              <w:rPr>
                <w:rFonts w:cs="Arial" w:asciiTheme="minorEastAsia" w:hAnsiTheme="minorEastAsia" w:eastAsiaTheme="minorEastAsia"/>
                <w:bCs/>
                <w:sz w:val="21"/>
                <w:szCs w:val="21"/>
              </w:rPr>
            </w:pPr>
            <w:r>
              <w:rPr>
                <w:rFonts w:hint="eastAsia" w:cs="宋体" w:asciiTheme="minorEastAsia" w:hAnsiTheme="minorEastAsia" w:eastAsiaTheme="minorEastAsia"/>
                <w:bCs/>
                <w:sz w:val="24"/>
                <w:szCs w:val="24"/>
              </w:rPr>
              <w:t>1、满足招标文件技术指标、参数要求的得24分（</w:t>
            </w:r>
            <w:r>
              <w:rPr>
                <w:rFonts w:hint="eastAsia" w:cs="Segoe UI Symbol" w:asciiTheme="minorEastAsia" w:hAnsiTheme="minorEastAsia" w:eastAsiaTheme="minorEastAsia"/>
                <w:sz w:val="21"/>
                <w:szCs w:val="21"/>
              </w:rPr>
              <w:t>未加★号项</w:t>
            </w:r>
            <w:r>
              <w:rPr>
                <w:rFonts w:hint="eastAsia" w:cs="Arial" w:asciiTheme="minorEastAsia" w:hAnsiTheme="minorEastAsia" w:eastAsiaTheme="minorEastAsia"/>
                <w:bCs/>
                <w:sz w:val="21"/>
                <w:szCs w:val="21"/>
              </w:rPr>
              <w:t>每有一项负偏离的减4分；负偏离超过5项的不得分）。</w:t>
            </w:r>
          </w:p>
          <w:p>
            <w:pPr>
              <w:spacing w:line="360" w:lineRule="auto"/>
              <w:rPr>
                <w:rFonts w:cs="宋体" w:asciiTheme="minorEastAsia" w:hAnsiTheme="minorEastAsia" w:eastAsiaTheme="minorEastAsia"/>
                <w:bCs/>
                <w:sz w:val="24"/>
                <w:szCs w:val="24"/>
              </w:rPr>
            </w:pPr>
            <w:r>
              <w:rPr>
                <w:rFonts w:hint="eastAsia" w:cs="Arial" w:asciiTheme="minorEastAsia" w:hAnsiTheme="minorEastAsia" w:eastAsiaTheme="minorEastAsia"/>
                <w:bCs/>
                <w:sz w:val="21"/>
                <w:szCs w:val="21"/>
              </w:rPr>
              <w:t>2、</w:t>
            </w:r>
            <w:r>
              <w:rPr>
                <w:rFonts w:hint="eastAsia" w:cs="宋体" w:asciiTheme="minorEastAsia" w:hAnsiTheme="minorEastAsia" w:eastAsiaTheme="minorEastAsia"/>
                <w:bCs/>
                <w:sz w:val="24"/>
                <w:szCs w:val="24"/>
              </w:rPr>
              <w:t xml:space="preserve">每有一项优于招标文件，经评委会认可的加1分，最多加4分。 </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4"/>
              </w:rPr>
            </w:pPr>
            <w:r>
              <w:rPr>
                <w:rFonts w:ascii="Arial" w:hAnsi="Arial" w:cs="Arial"/>
                <w:bCs/>
                <w:sz w:val="24"/>
              </w:rPr>
              <w:t>3</w:t>
            </w:r>
          </w:p>
        </w:tc>
        <w:tc>
          <w:tcPr>
            <w:tcW w:w="1984" w:type="dxa"/>
            <w:vMerge w:val="restart"/>
            <w:vAlign w:val="center"/>
          </w:tcPr>
          <w:p>
            <w:pPr>
              <w:spacing w:line="360" w:lineRule="auto"/>
              <w:jc w:val="center"/>
              <w:rPr>
                <w:rFonts w:cs="Arial" w:asciiTheme="minorEastAsia" w:hAnsiTheme="minorEastAsia" w:eastAsiaTheme="minorEastAsia"/>
                <w:bCs/>
                <w:sz w:val="24"/>
              </w:rPr>
            </w:pPr>
            <w:r>
              <w:rPr>
                <w:rFonts w:cs="Arial" w:asciiTheme="minorEastAsia" w:hAnsiTheme="minorEastAsia" w:eastAsiaTheme="minorEastAsia"/>
                <w:bCs/>
                <w:sz w:val="24"/>
              </w:rPr>
              <w:t>服务</w:t>
            </w:r>
          </w:p>
          <w:p>
            <w:pPr>
              <w:spacing w:line="360" w:lineRule="auto"/>
              <w:jc w:val="center"/>
              <w:rPr>
                <w:rFonts w:ascii="Arial" w:hAnsi="Arial" w:cs="Arial"/>
                <w:bCs/>
                <w:sz w:val="24"/>
              </w:rPr>
            </w:pPr>
            <w:r>
              <w:rPr>
                <w:rFonts w:cs="Arial" w:asciiTheme="minorEastAsia" w:hAnsiTheme="minorEastAsia" w:eastAsiaTheme="minorEastAsia"/>
                <w:bCs/>
                <w:sz w:val="24"/>
              </w:rPr>
              <w:t>（</w:t>
            </w:r>
            <w:r>
              <w:rPr>
                <w:rFonts w:hint="eastAsia" w:cs="Arial" w:asciiTheme="minorEastAsia" w:hAnsiTheme="minorEastAsia" w:eastAsiaTheme="minorEastAsia"/>
                <w:bCs/>
                <w:sz w:val="24"/>
              </w:rPr>
              <w:t>15</w:t>
            </w:r>
            <w:r>
              <w:rPr>
                <w:rFonts w:cs="Arial" w:asciiTheme="minorEastAsia" w:hAnsiTheme="minorEastAsia" w:eastAsiaTheme="minorEastAsia"/>
                <w:bCs/>
                <w:sz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方案完整、合理可行的得9-11分；方案较完整、较合理可行的得6-8分；方案不完整、不合理不可行的得0-5分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4"/>
              </w:rPr>
            </w:pPr>
          </w:p>
        </w:tc>
        <w:tc>
          <w:tcPr>
            <w:tcW w:w="1984" w:type="dxa"/>
            <w:vMerge w:val="continue"/>
            <w:vAlign w:val="center"/>
          </w:tcPr>
          <w:p>
            <w:pPr>
              <w:spacing w:line="360" w:lineRule="auto"/>
              <w:rPr>
                <w:rFonts w:ascii="Arial" w:hAnsi="Arial" w:cs="Arial"/>
                <w:bCs/>
                <w:sz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4"/>
              </w:rPr>
            </w:pPr>
            <w:r>
              <w:rPr>
                <w:rFonts w:ascii="Arial" w:hAnsi="Arial" w:cs="Arial"/>
                <w:bCs/>
                <w:sz w:val="24"/>
              </w:rPr>
              <w:t>4</w:t>
            </w:r>
          </w:p>
        </w:tc>
        <w:tc>
          <w:tcPr>
            <w:tcW w:w="1984"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4"/>
              </w:rPr>
            </w:pPr>
            <w:r>
              <w:rPr>
                <w:rFonts w:ascii="Arial" w:hAnsi="Arial" w:cs="Arial"/>
                <w:bCs/>
                <w:sz w:val="24"/>
              </w:rPr>
              <w:t>5</w:t>
            </w:r>
          </w:p>
        </w:tc>
        <w:tc>
          <w:tcPr>
            <w:tcW w:w="1984" w:type="dxa"/>
            <w:vAlign w:val="center"/>
          </w:tcPr>
          <w:p>
            <w:pPr>
              <w:spacing w:line="360" w:lineRule="auto"/>
              <w:jc w:val="center"/>
              <w:rPr>
                <w:rFonts w:cs="Arial" w:asciiTheme="minorEastAsia" w:hAnsiTheme="minorEastAsia" w:eastAsiaTheme="minorEastAsia"/>
                <w:bCs/>
                <w:sz w:val="24"/>
              </w:rPr>
            </w:pPr>
            <w:r>
              <w:rPr>
                <w:rFonts w:cs="Arial" w:asciiTheme="minorEastAsia" w:hAnsiTheme="minorEastAsia" w:eastAsiaTheme="minorEastAsia"/>
                <w:bCs/>
                <w:sz w:val="24"/>
              </w:rPr>
              <w:t>投标人财务与信誉状况（</w:t>
            </w:r>
            <w:r>
              <w:rPr>
                <w:rFonts w:hint="eastAsia" w:cs="Arial" w:asciiTheme="minorEastAsia" w:hAnsiTheme="minorEastAsia" w:eastAsiaTheme="minorEastAsia"/>
                <w:bCs/>
                <w:sz w:val="24"/>
              </w:rPr>
              <w:t>5</w:t>
            </w:r>
            <w:r>
              <w:rPr>
                <w:rFonts w:cs="Arial" w:asciiTheme="minorEastAsia" w:hAnsiTheme="minorEastAsia" w:eastAsiaTheme="minorEastAsia"/>
                <w:bCs/>
                <w:sz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534" w:type="dxa"/>
            <w:vAlign w:val="center"/>
          </w:tcPr>
          <w:p>
            <w:pPr>
              <w:spacing w:line="360" w:lineRule="auto"/>
              <w:jc w:val="center"/>
              <w:rPr>
                <w:rFonts w:ascii="Arial" w:hAnsi="Arial" w:cs="Arial"/>
                <w:bCs/>
                <w:sz w:val="24"/>
              </w:rPr>
            </w:pPr>
            <w:r>
              <w:rPr>
                <w:rFonts w:ascii="Arial" w:hAnsi="Arial" w:cs="Arial"/>
                <w:bCs/>
                <w:sz w:val="24"/>
              </w:rPr>
              <w:t>6</w:t>
            </w:r>
          </w:p>
        </w:tc>
        <w:tc>
          <w:tcPr>
            <w:tcW w:w="1984" w:type="dxa"/>
            <w:vAlign w:val="center"/>
          </w:tcPr>
          <w:p>
            <w:pPr>
              <w:spacing w:line="360" w:lineRule="auto"/>
              <w:rPr>
                <w:rFonts w:cs="Arial" w:asciiTheme="minorEastAsia" w:hAnsiTheme="minorEastAsia" w:eastAsiaTheme="minorEastAsia"/>
                <w:bCs/>
                <w:sz w:val="24"/>
              </w:rPr>
            </w:pPr>
            <w:r>
              <w:rPr>
                <w:rFonts w:cs="Arial" w:asciiTheme="minorEastAsia" w:hAnsiTheme="minorEastAsia" w:eastAsiaTheme="minorEastAsia"/>
                <w:bCs/>
                <w:sz w:val="24"/>
              </w:rPr>
              <w:t>对招标文件响应程度（</w:t>
            </w:r>
            <w:r>
              <w:rPr>
                <w:rFonts w:hint="eastAsia" w:cs="Arial" w:asciiTheme="minorEastAsia" w:hAnsiTheme="minorEastAsia" w:eastAsiaTheme="minorEastAsia"/>
                <w:bCs/>
                <w:sz w:val="24"/>
              </w:rPr>
              <w:t>2</w:t>
            </w:r>
            <w:r>
              <w:rPr>
                <w:rFonts w:cs="Arial" w:asciiTheme="minorEastAsia" w:hAnsiTheme="minorEastAsia" w:eastAsiaTheme="minorEastAsia"/>
                <w:bCs/>
                <w:sz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hint="eastAsia"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Xingkai SC Bold">
    <w:altName w:val="Arial Unicode MS"/>
    <w:panose1 w:val="00000000000000000000"/>
    <w:charset w:val="00"/>
    <w:family w:val="auto"/>
    <w:pitch w:val="default"/>
    <w:sig w:usb0="00000000" w:usb1="00000000" w:usb2="00000000" w:usb3="00000000" w:csb0="00040001"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32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3F872AD"/>
    <w:multiLevelType w:val="multilevel"/>
    <w:tmpl w:val="63F872A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B9F032F"/>
    <w:multiLevelType w:val="multilevel"/>
    <w:tmpl w:val="6B9F032F"/>
    <w:lvl w:ilvl="0" w:tentative="0">
      <w:start w:val="2"/>
      <w:numFmt w:val="japaneseCounting"/>
      <w:lvlText w:val="%1、"/>
      <w:lvlJc w:val="left"/>
      <w:pPr>
        <w:ind w:left="993" w:hanging="720"/>
      </w:pPr>
      <w:rPr>
        <w:rFonts w:hint="default"/>
      </w:rPr>
    </w:lvl>
    <w:lvl w:ilvl="1" w:tentative="0">
      <w:start w:val="1"/>
      <w:numFmt w:val="lowerLetter"/>
      <w:lvlText w:val="%2)"/>
      <w:lvlJc w:val="left"/>
      <w:pPr>
        <w:ind w:left="1113" w:hanging="420"/>
      </w:pPr>
    </w:lvl>
    <w:lvl w:ilvl="2" w:tentative="0">
      <w:start w:val="1"/>
      <w:numFmt w:val="lowerRoman"/>
      <w:lvlText w:val="%3."/>
      <w:lvlJc w:val="right"/>
      <w:pPr>
        <w:ind w:left="1533" w:hanging="420"/>
      </w:pPr>
    </w:lvl>
    <w:lvl w:ilvl="3" w:tentative="0">
      <w:start w:val="1"/>
      <w:numFmt w:val="decimal"/>
      <w:lvlText w:val="%4."/>
      <w:lvlJc w:val="left"/>
      <w:pPr>
        <w:ind w:left="1953" w:hanging="420"/>
      </w:pPr>
    </w:lvl>
    <w:lvl w:ilvl="4" w:tentative="0">
      <w:start w:val="1"/>
      <w:numFmt w:val="lowerLetter"/>
      <w:lvlText w:val="%5)"/>
      <w:lvlJc w:val="left"/>
      <w:pPr>
        <w:ind w:left="2373" w:hanging="420"/>
      </w:pPr>
    </w:lvl>
    <w:lvl w:ilvl="5" w:tentative="0">
      <w:start w:val="1"/>
      <w:numFmt w:val="lowerRoman"/>
      <w:lvlText w:val="%6."/>
      <w:lvlJc w:val="right"/>
      <w:pPr>
        <w:ind w:left="2793" w:hanging="420"/>
      </w:pPr>
    </w:lvl>
    <w:lvl w:ilvl="6" w:tentative="0">
      <w:start w:val="1"/>
      <w:numFmt w:val="decimal"/>
      <w:lvlText w:val="%7."/>
      <w:lvlJc w:val="left"/>
      <w:pPr>
        <w:ind w:left="3213" w:hanging="420"/>
      </w:pPr>
    </w:lvl>
    <w:lvl w:ilvl="7" w:tentative="0">
      <w:start w:val="1"/>
      <w:numFmt w:val="lowerLetter"/>
      <w:lvlText w:val="%8)"/>
      <w:lvlJc w:val="left"/>
      <w:pPr>
        <w:ind w:left="3633" w:hanging="420"/>
      </w:pPr>
    </w:lvl>
    <w:lvl w:ilvl="8" w:tentative="0">
      <w:start w:val="1"/>
      <w:numFmt w:val="lowerRoman"/>
      <w:lvlText w:val="%9."/>
      <w:lvlJc w:val="right"/>
      <w:pPr>
        <w:ind w:left="4053" w:hanging="420"/>
      </w:p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0727"/>
    <w:rsid w:val="00026CA5"/>
    <w:rsid w:val="00045531"/>
    <w:rsid w:val="000458DB"/>
    <w:rsid w:val="00046D67"/>
    <w:rsid w:val="000508AB"/>
    <w:rsid w:val="00050D10"/>
    <w:rsid w:val="00053D2D"/>
    <w:rsid w:val="00053D8C"/>
    <w:rsid w:val="0005451A"/>
    <w:rsid w:val="00063E5E"/>
    <w:rsid w:val="00065528"/>
    <w:rsid w:val="00070968"/>
    <w:rsid w:val="00075408"/>
    <w:rsid w:val="0008466D"/>
    <w:rsid w:val="00086A59"/>
    <w:rsid w:val="00090C36"/>
    <w:rsid w:val="0009546A"/>
    <w:rsid w:val="000A4EF6"/>
    <w:rsid w:val="000B08EC"/>
    <w:rsid w:val="000B0E83"/>
    <w:rsid w:val="000B538B"/>
    <w:rsid w:val="000C08DC"/>
    <w:rsid w:val="000C3635"/>
    <w:rsid w:val="000C42CC"/>
    <w:rsid w:val="000C6FE5"/>
    <w:rsid w:val="000C7C51"/>
    <w:rsid w:val="000D0163"/>
    <w:rsid w:val="000F4CEA"/>
    <w:rsid w:val="00100D01"/>
    <w:rsid w:val="00101A8A"/>
    <w:rsid w:val="0012092A"/>
    <w:rsid w:val="001225B3"/>
    <w:rsid w:val="00124A3C"/>
    <w:rsid w:val="00125C10"/>
    <w:rsid w:val="00141840"/>
    <w:rsid w:val="0016026B"/>
    <w:rsid w:val="00160A9B"/>
    <w:rsid w:val="00166953"/>
    <w:rsid w:val="00167738"/>
    <w:rsid w:val="00170D4A"/>
    <w:rsid w:val="0018443B"/>
    <w:rsid w:val="00193521"/>
    <w:rsid w:val="001A049C"/>
    <w:rsid w:val="001B4AA0"/>
    <w:rsid w:val="001B6A78"/>
    <w:rsid w:val="001C20DD"/>
    <w:rsid w:val="001C2E89"/>
    <w:rsid w:val="001C4B26"/>
    <w:rsid w:val="001C64AC"/>
    <w:rsid w:val="001D0768"/>
    <w:rsid w:val="001D281C"/>
    <w:rsid w:val="001D5A6A"/>
    <w:rsid w:val="001E030A"/>
    <w:rsid w:val="001E1FD2"/>
    <w:rsid w:val="001E4020"/>
    <w:rsid w:val="001E73B5"/>
    <w:rsid w:val="001F36C2"/>
    <w:rsid w:val="001F4F63"/>
    <w:rsid w:val="0020432E"/>
    <w:rsid w:val="002070F5"/>
    <w:rsid w:val="00211EE2"/>
    <w:rsid w:val="00223D09"/>
    <w:rsid w:val="00232127"/>
    <w:rsid w:val="002327D4"/>
    <w:rsid w:val="0024484D"/>
    <w:rsid w:val="00244DA0"/>
    <w:rsid w:val="0025535E"/>
    <w:rsid w:val="00266C11"/>
    <w:rsid w:val="00272CB4"/>
    <w:rsid w:val="002944C2"/>
    <w:rsid w:val="00295368"/>
    <w:rsid w:val="002A4DD3"/>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6020E"/>
    <w:rsid w:val="0036460C"/>
    <w:rsid w:val="00365285"/>
    <w:rsid w:val="0037490B"/>
    <w:rsid w:val="0038270D"/>
    <w:rsid w:val="00397BA9"/>
    <w:rsid w:val="003B1427"/>
    <w:rsid w:val="003B2DF7"/>
    <w:rsid w:val="003B3CF8"/>
    <w:rsid w:val="003D2715"/>
    <w:rsid w:val="003D37D8"/>
    <w:rsid w:val="003F3546"/>
    <w:rsid w:val="003F6A3E"/>
    <w:rsid w:val="003F7CC8"/>
    <w:rsid w:val="00404C89"/>
    <w:rsid w:val="00411C53"/>
    <w:rsid w:val="00412566"/>
    <w:rsid w:val="00413A13"/>
    <w:rsid w:val="00414074"/>
    <w:rsid w:val="00421D40"/>
    <w:rsid w:val="00425635"/>
    <w:rsid w:val="00426133"/>
    <w:rsid w:val="00431F8A"/>
    <w:rsid w:val="004358AB"/>
    <w:rsid w:val="0043654C"/>
    <w:rsid w:val="004416FF"/>
    <w:rsid w:val="004459E6"/>
    <w:rsid w:val="0044705E"/>
    <w:rsid w:val="00477C2E"/>
    <w:rsid w:val="004808C6"/>
    <w:rsid w:val="004A4F2D"/>
    <w:rsid w:val="004E0EEC"/>
    <w:rsid w:val="004E3402"/>
    <w:rsid w:val="004F364A"/>
    <w:rsid w:val="004F54A0"/>
    <w:rsid w:val="004F5C9E"/>
    <w:rsid w:val="004F7103"/>
    <w:rsid w:val="005129DB"/>
    <w:rsid w:val="00523B5F"/>
    <w:rsid w:val="005253AD"/>
    <w:rsid w:val="00557F99"/>
    <w:rsid w:val="0057236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3679"/>
    <w:rsid w:val="006160DD"/>
    <w:rsid w:val="006218B4"/>
    <w:rsid w:val="006256EA"/>
    <w:rsid w:val="00630126"/>
    <w:rsid w:val="006411FE"/>
    <w:rsid w:val="006600C0"/>
    <w:rsid w:val="00663D89"/>
    <w:rsid w:val="00681F07"/>
    <w:rsid w:val="00695BF8"/>
    <w:rsid w:val="006977C3"/>
    <w:rsid w:val="006977DE"/>
    <w:rsid w:val="006A096A"/>
    <w:rsid w:val="006B0EB6"/>
    <w:rsid w:val="006B4013"/>
    <w:rsid w:val="006B6C40"/>
    <w:rsid w:val="006C6B1D"/>
    <w:rsid w:val="006D1B0D"/>
    <w:rsid w:val="006E1848"/>
    <w:rsid w:val="006E4023"/>
    <w:rsid w:val="006F283A"/>
    <w:rsid w:val="00702C6A"/>
    <w:rsid w:val="00705F93"/>
    <w:rsid w:val="00710E53"/>
    <w:rsid w:val="0071106B"/>
    <w:rsid w:val="007178CD"/>
    <w:rsid w:val="00722B49"/>
    <w:rsid w:val="00725153"/>
    <w:rsid w:val="00731E48"/>
    <w:rsid w:val="0074740B"/>
    <w:rsid w:val="00747556"/>
    <w:rsid w:val="007543D9"/>
    <w:rsid w:val="00754FBF"/>
    <w:rsid w:val="00755373"/>
    <w:rsid w:val="00791FC9"/>
    <w:rsid w:val="00792482"/>
    <w:rsid w:val="0079316D"/>
    <w:rsid w:val="007947E9"/>
    <w:rsid w:val="00795D08"/>
    <w:rsid w:val="007A58F8"/>
    <w:rsid w:val="007D5413"/>
    <w:rsid w:val="007E0F09"/>
    <w:rsid w:val="007E2F52"/>
    <w:rsid w:val="007E466E"/>
    <w:rsid w:val="007E5C50"/>
    <w:rsid w:val="007F1718"/>
    <w:rsid w:val="007F18E6"/>
    <w:rsid w:val="007F226B"/>
    <w:rsid w:val="008324FE"/>
    <w:rsid w:val="0083334C"/>
    <w:rsid w:val="00833AE1"/>
    <w:rsid w:val="0083418F"/>
    <w:rsid w:val="00834323"/>
    <w:rsid w:val="00841379"/>
    <w:rsid w:val="0085068C"/>
    <w:rsid w:val="00853556"/>
    <w:rsid w:val="008545FA"/>
    <w:rsid w:val="00863149"/>
    <w:rsid w:val="00881E8B"/>
    <w:rsid w:val="00891674"/>
    <w:rsid w:val="008940B1"/>
    <w:rsid w:val="008B154E"/>
    <w:rsid w:val="008B7726"/>
    <w:rsid w:val="008E0843"/>
    <w:rsid w:val="008E6860"/>
    <w:rsid w:val="008F34B5"/>
    <w:rsid w:val="008F3684"/>
    <w:rsid w:val="008F5952"/>
    <w:rsid w:val="008F6FC4"/>
    <w:rsid w:val="008F7663"/>
    <w:rsid w:val="00901E4A"/>
    <w:rsid w:val="00906D48"/>
    <w:rsid w:val="009124F7"/>
    <w:rsid w:val="00913A47"/>
    <w:rsid w:val="00914B43"/>
    <w:rsid w:val="00917C9A"/>
    <w:rsid w:val="00922C31"/>
    <w:rsid w:val="009330FF"/>
    <w:rsid w:val="00937A6C"/>
    <w:rsid w:val="00944F3E"/>
    <w:rsid w:val="00954E6B"/>
    <w:rsid w:val="009569A2"/>
    <w:rsid w:val="00982CE2"/>
    <w:rsid w:val="00985BBC"/>
    <w:rsid w:val="00994DC6"/>
    <w:rsid w:val="0099642C"/>
    <w:rsid w:val="009A33CD"/>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02D32"/>
    <w:rsid w:val="00A157F0"/>
    <w:rsid w:val="00A25E57"/>
    <w:rsid w:val="00A4464F"/>
    <w:rsid w:val="00A46E8D"/>
    <w:rsid w:val="00A478D2"/>
    <w:rsid w:val="00A547EF"/>
    <w:rsid w:val="00A67624"/>
    <w:rsid w:val="00A713BE"/>
    <w:rsid w:val="00A719C8"/>
    <w:rsid w:val="00A754E0"/>
    <w:rsid w:val="00A84971"/>
    <w:rsid w:val="00AA10B3"/>
    <w:rsid w:val="00AA278C"/>
    <w:rsid w:val="00AB3CFF"/>
    <w:rsid w:val="00AC2325"/>
    <w:rsid w:val="00AC3CE4"/>
    <w:rsid w:val="00AC6277"/>
    <w:rsid w:val="00AD713B"/>
    <w:rsid w:val="00AE5082"/>
    <w:rsid w:val="00AE6332"/>
    <w:rsid w:val="00AF0E8F"/>
    <w:rsid w:val="00AF3ACC"/>
    <w:rsid w:val="00AF539E"/>
    <w:rsid w:val="00B06748"/>
    <w:rsid w:val="00B10D4E"/>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7744D"/>
    <w:rsid w:val="00B93218"/>
    <w:rsid w:val="00B9381E"/>
    <w:rsid w:val="00B9568F"/>
    <w:rsid w:val="00B97749"/>
    <w:rsid w:val="00B97E23"/>
    <w:rsid w:val="00BA78DC"/>
    <w:rsid w:val="00BB2734"/>
    <w:rsid w:val="00BB3582"/>
    <w:rsid w:val="00BC5C79"/>
    <w:rsid w:val="00BC7A5C"/>
    <w:rsid w:val="00BD02B4"/>
    <w:rsid w:val="00BD2AED"/>
    <w:rsid w:val="00BD4B86"/>
    <w:rsid w:val="00BD6A49"/>
    <w:rsid w:val="00BD6FBD"/>
    <w:rsid w:val="00BD77ED"/>
    <w:rsid w:val="00BE7284"/>
    <w:rsid w:val="00BF363B"/>
    <w:rsid w:val="00BF3F02"/>
    <w:rsid w:val="00BF3F2A"/>
    <w:rsid w:val="00BF688E"/>
    <w:rsid w:val="00BF6B18"/>
    <w:rsid w:val="00C00BC7"/>
    <w:rsid w:val="00C12969"/>
    <w:rsid w:val="00C13584"/>
    <w:rsid w:val="00C30C20"/>
    <w:rsid w:val="00C40E65"/>
    <w:rsid w:val="00C541CB"/>
    <w:rsid w:val="00C55166"/>
    <w:rsid w:val="00C57684"/>
    <w:rsid w:val="00C76558"/>
    <w:rsid w:val="00C86FD4"/>
    <w:rsid w:val="00C96654"/>
    <w:rsid w:val="00CB2130"/>
    <w:rsid w:val="00CB3C11"/>
    <w:rsid w:val="00CB60EC"/>
    <w:rsid w:val="00CD4864"/>
    <w:rsid w:val="00CD4D83"/>
    <w:rsid w:val="00CF798E"/>
    <w:rsid w:val="00D1587C"/>
    <w:rsid w:val="00D278D7"/>
    <w:rsid w:val="00D31D50"/>
    <w:rsid w:val="00D4211D"/>
    <w:rsid w:val="00D5054E"/>
    <w:rsid w:val="00D53633"/>
    <w:rsid w:val="00D56CB6"/>
    <w:rsid w:val="00D61AE7"/>
    <w:rsid w:val="00D634CC"/>
    <w:rsid w:val="00D73725"/>
    <w:rsid w:val="00D77EC9"/>
    <w:rsid w:val="00D81D23"/>
    <w:rsid w:val="00D9005C"/>
    <w:rsid w:val="00D9011F"/>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100"/>
    <w:rsid w:val="00E34600"/>
    <w:rsid w:val="00E52BFB"/>
    <w:rsid w:val="00E537C7"/>
    <w:rsid w:val="00E53CF5"/>
    <w:rsid w:val="00E56996"/>
    <w:rsid w:val="00E57C17"/>
    <w:rsid w:val="00E75074"/>
    <w:rsid w:val="00E81B75"/>
    <w:rsid w:val="00E85DDD"/>
    <w:rsid w:val="00E95E13"/>
    <w:rsid w:val="00EB0C34"/>
    <w:rsid w:val="00EB187E"/>
    <w:rsid w:val="00EC3C23"/>
    <w:rsid w:val="00ED0853"/>
    <w:rsid w:val="00EE2837"/>
    <w:rsid w:val="00EE4B82"/>
    <w:rsid w:val="00EE7046"/>
    <w:rsid w:val="00EF69B3"/>
    <w:rsid w:val="00EF747D"/>
    <w:rsid w:val="00F04061"/>
    <w:rsid w:val="00F14151"/>
    <w:rsid w:val="00F152B0"/>
    <w:rsid w:val="00F212D3"/>
    <w:rsid w:val="00F30A36"/>
    <w:rsid w:val="00F33A15"/>
    <w:rsid w:val="00F34B4A"/>
    <w:rsid w:val="00F34DF9"/>
    <w:rsid w:val="00F36DF1"/>
    <w:rsid w:val="00F4455E"/>
    <w:rsid w:val="00F5231B"/>
    <w:rsid w:val="00F64CC8"/>
    <w:rsid w:val="00F8761F"/>
    <w:rsid w:val="00F94053"/>
    <w:rsid w:val="00F952C7"/>
    <w:rsid w:val="00F96BF5"/>
    <w:rsid w:val="00FA1FA5"/>
    <w:rsid w:val="00FA4F5F"/>
    <w:rsid w:val="00FA7B45"/>
    <w:rsid w:val="00FB608D"/>
    <w:rsid w:val="00FC0456"/>
    <w:rsid w:val="00FC3104"/>
    <w:rsid w:val="00FE5B60"/>
    <w:rsid w:val="00FF44F0"/>
    <w:rsid w:val="00FF7A26"/>
    <w:rsid w:val="46F03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link w:val="16"/>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link w:val="10"/>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link w:val="9"/>
    <w:semiHidden/>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qFormat/>
    <w:uiPriority w:val="99"/>
    <w:rPr>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9EF2A1-5136-4559-A72C-77B9B9224BC1}">
  <ds:schemaRefs/>
</ds:datastoreItem>
</file>

<file path=docProps/app.xml><?xml version="1.0" encoding="utf-8"?>
<Properties xmlns="http://schemas.openxmlformats.org/officeDocument/2006/extended-properties" xmlns:vt="http://schemas.openxmlformats.org/officeDocument/2006/docPropsVTypes">
  <Template>Normal</Template>
  <Pages>36</Pages>
  <Words>2497</Words>
  <Characters>14237</Characters>
  <Lines>118</Lines>
  <Paragraphs>33</Paragraphs>
  <TotalTime>1168</TotalTime>
  <ScaleCrop>false</ScaleCrop>
  <LinksUpToDate>false</LinksUpToDate>
  <CharactersWithSpaces>16701</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lenovo</dc:creator>
  <cp:lastModifiedBy>lenovo</cp:lastModifiedBy>
  <dcterms:modified xsi:type="dcterms:W3CDTF">2018-11-01T06:29:57Z</dcterms:modified>
  <cp:revision>678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