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val="en-US" w:eastAsia="zh-CN"/>
        </w:rPr>
      </w:pPr>
      <w:bookmarkStart w:id="0" w:name="bookmark41"/>
      <w:bookmarkStart w:id="1" w:name="bookmark42"/>
      <w:bookmarkStart w:id="2" w:name="bookmark43"/>
      <w:r>
        <w:rPr>
          <w:rFonts w:hint="eastAsia" w:ascii="仿宋" w:hAnsi="仿宋" w:eastAsia="仿宋" w:cs="仿宋"/>
          <w:b/>
          <w:bCs/>
          <w:sz w:val="40"/>
          <w:szCs w:val="40"/>
          <w:highlight w:val="none"/>
          <w:lang w:val="en-US" w:eastAsia="zh-CN"/>
        </w:rPr>
        <w:t>南京医科大学虚拟仿真实验教学共享平台采购项目</w:t>
      </w:r>
    </w:p>
    <w:p>
      <w:pPr>
        <w:pageBreakBefore w:val="0"/>
        <w:shd w:val="clear"/>
        <w:kinsoku/>
        <w:wordWrap/>
        <w:overflowPunct/>
        <w:topLinePunct w:val="0"/>
        <w:autoSpaceDE/>
        <w:autoSpaceDN/>
        <w:bidi w:val="0"/>
        <w:spacing w:line="360" w:lineRule="auto"/>
        <w:jc w:val="center"/>
        <w:textAlignment w:val="auto"/>
        <w:rPr>
          <w:rFonts w:hint="default" w:ascii="仿宋" w:hAnsi="仿宋" w:eastAsia="仿宋" w:cs="仿宋"/>
          <w:b/>
          <w:bCs/>
          <w:sz w:val="40"/>
          <w:szCs w:val="40"/>
          <w:highlight w:val="none"/>
          <w:lang w:val="en-US" w:eastAsia="zh-CN"/>
        </w:rPr>
      </w:pPr>
      <w:r>
        <w:rPr>
          <w:rFonts w:hint="eastAsia" w:ascii="仿宋" w:hAnsi="仿宋" w:eastAsia="仿宋" w:cs="仿宋"/>
          <w:b/>
          <w:bCs/>
          <w:sz w:val="40"/>
          <w:szCs w:val="40"/>
          <w:highlight w:val="none"/>
          <w:lang w:val="en-US" w:eastAsia="zh-CN"/>
        </w:rPr>
        <w:t xml:space="preserve"> </w:t>
      </w:r>
      <w:bookmarkEnd w:id="0"/>
      <w:bookmarkEnd w:id="1"/>
      <w:bookmarkEnd w:id="2"/>
      <w:r>
        <w:rPr>
          <w:rFonts w:hint="eastAsia" w:ascii="仿宋" w:hAnsi="仿宋" w:eastAsia="仿宋" w:cs="仿宋"/>
          <w:b/>
          <w:bCs/>
          <w:sz w:val="40"/>
          <w:szCs w:val="40"/>
          <w:highlight w:val="none"/>
          <w:lang w:val="en-US" w:eastAsia="zh-CN"/>
        </w:rPr>
        <w:t>竞争性磋商公告</w:t>
      </w:r>
    </w:p>
    <w:p>
      <w:pPr>
        <w:pageBreakBefore w:val="0"/>
        <w:shd w:val="clear"/>
        <w:kinsoku/>
        <w:wordWrap/>
        <w:overflowPunct/>
        <w:topLinePunct w:val="0"/>
        <w:autoSpaceDE/>
        <w:autoSpaceDN/>
        <w:bidi w:val="0"/>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项目概况：</w:t>
      </w:r>
      <w:r>
        <w:rPr>
          <w:rFonts w:hint="eastAsia" w:ascii="仿宋" w:hAnsi="仿宋" w:eastAsia="仿宋" w:cs="仿宋"/>
          <w:b w:val="0"/>
          <w:bCs w:val="0"/>
          <w:sz w:val="24"/>
          <w:szCs w:val="24"/>
          <w:highlight w:val="none"/>
          <w:lang w:eastAsia="zh-CN"/>
        </w:rPr>
        <w:t>南京医科大学虚拟仿真实验教学共享平台采购项目</w:t>
      </w:r>
      <w:r>
        <w:rPr>
          <w:rFonts w:hint="eastAsia" w:ascii="仿宋" w:hAnsi="仿宋" w:eastAsia="仿宋" w:cs="仿宋"/>
          <w:b w:val="0"/>
          <w:bCs w:val="0"/>
          <w:sz w:val="24"/>
          <w:szCs w:val="24"/>
          <w:highlight w:val="none"/>
          <w:lang w:val="en-US" w:eastAsia="zh-CN"/>
        </w:rPr>
        <w:t>的</w:t>
      </w:r>
      <w:r>
        <w:rPr>
          <w:rFonts w:hint="eastAsia" w:ascii="仿宋" w:hAnsi="仿宋" w:eastAsia="仿宋" w:cs="仿宋"/>
          <w:sz w:val="24"/>
          <w:szCs w:val="24"/>
          <w:highlight w:val="none"/>
        </w:rPr>
        <w:t>潜在</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应在南京市秦淮区光华东街6号世界之窗创意产业园</w:t>
      </w:r>
      <w:r>
        <w:rPr>
          <w:rFonts w:hint="eastAsia" w:ascii="仿宋" w:hAnsi="仿宋" w:eastAsia="仿宋" w:cs="仿宋"/>
          <w:sz w:val="24"/>
          <w:szCs w:val="24"/>
          <w:highlight w:val="none"/>
          <w:lang w:eastAsia="zh-CN"/>
        </w:rPr>
        <w:t>15幢4楼</w:t>
      </w:r>
      <w:r>
        <w:rPr>
          <w:rFonts w:hint="eastAsia" w:ascii="仿宋" w:hAnsi="仿宋" w:eastAsia="仿宋" w:cs="仿宋"/>
          <w:sz w:val="24"/>
          <w:szCs w:val="24"/>
          <w:highlight w:val="none"/>
        </w:rPr>
        <w:t>获取</w:t>
      </w:r>
      <w:r>
        <w:rPr>
          <w:rFonts w:hint="eastAsia" w:ascii="仿宋" w:hAnsi="仿宋" w:eastAsia="仿宋" w:cs="仿宋"/>
          <w:sz w:val="24"/>
          <w:szCs w:val="24"/>
          <w:highlight w:val="none"/>
          <w:lang w:eastAsia="zh-CN"/>
        </w:rPr>
        <w:t>采购文件, 并于 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 xml:space="preserve"> 22</w:t>
      </w:r>
      <w:r>
        <w:rPr>
          <w:rFonts w:hint="eastAsia" w:ascii="仿宋" w:hAnsi="仿宋" w:eastAsia="仿宋" w:cs="仿宋"/>
          <w:sz w:val="24"/>
          <w:szCs w:val="24"/>
          <w:highlight w:val="none"/>
          <w:lang w:eastAsia="zh-CN"/>
        </w:rPr>
        <w:t>日下午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0（北京时间）前递交响应文件。</w:t>
      </w:r>
    </w:p>
    <w:p>
      <w:pPr>
        <w:pStyle w:val="7"/>
        <w:pageBreakBefore w:val="0"/>
        <w:shd w:val="clea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 xml:space="preserve">一、项目基本情况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：NJDCX-202206141325</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南京医科大学虚拟仿真实验教学共享平台采购项目</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lang w:eastAsia="zh-CN"/>
        </w:rPr>
        <w:t>采</w:t>
      </w:r>
      <w:r>
        <w:rPr>
          <w:rFonts w:hint="eastAsia" w:ascii="仿宋" w:hAnsi="仿宋" w:eastAsia="仿宋" w:cs="仿宋"/>
          <w:sz w:val="24"/>
          <w:szCs w:val="24"/>
        </w:rPr>
        <w:t>购方式：竞争性磋商</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40万元整。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5.最高限价：人民币40万元整。</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6.采购需求：</w:t>
      </w:r>
      <w:r>
        <w:rPr>
          <w:rFonts w:hint="eastAsia" w:ascii="仿宋" w:hAnsi="仿宋" w:eastAsia="仿宋" w:cs="仿宋"/>
          <w:sz w:val="24"/>
          <w:szCs w:val="24"/>
          <w:lang w:val="en-US" w:eastAsia="zh-CN"/>
        </w:rPr>
        <w:t>本项目立足</w:t>
      </w:r>
      <w:r>
        <w:rPr>
          <w:rFonts w:hint="eastAsia" w:ascii="仿宋" w:hAnsi="仿宋" w:eastAsia="仿宋" w:cs="仿宋"/>
          <w:sz w:val="24"/>
          <w:szCs w:val="24"/>
          <w:lang w:eastAsia="zh-CN"/>
        </w:rPr>
        <w:t>构建网络化校级虚拟仿真实训一体化云平台，以数字化转型整体驱动教学模式和治理方式变革，建设体系化、装备化、个性化的示范虚拟仿真实训平台。以虚拟仿真实验教学资源的开放共享和充分使用为目标，同时系统可以高效管理实验教学资源，实现校内外、本地区及更广范围内的实验教学资源共享，同时满足本地区、南京医科大学及多学科专业的虚拟仿真实验教学的需求，同时还建立起有利于激励学生学习和提高学生创新能力的教学效果考核、评价和反馈机制。</w:t>
      </w:r>
      <w:r>
        <w:rPr>
          <w:rFonts w:hint="eastAsia" w:ascii="仿宋" w:hAnsi="仿宋" w:eastAsia="仿宋" w:cs="仿宋"/>
          <w:sz w:val="24"/>
          <w:szCs w:val="24"/>
          <w:lang w:val="en-US" w:eastAsia="zh-CN"/>
        </w:rPr>
        <w:t>通过虚拟仿真实验教学共享平台实现</w:t>
      </w:r>
      <w:r>
        <w:rPr>
          <w:rFonts w:hint="eastAsia" w:ascii="仿宋" w:hAnsi="仿宋" w:eastAsia="仿宋" w:cs="仿宋"/>
          <w:sz w:val="24"/>
          <w:szCs w:val="24"/>
          <w:lang w:eastAsia="zh-CN"/>
        </w:rPr>
        <w:t>虚拟实验教学资源的开放共享和充分使用，同时系统可以高效管理实验教学资源，实现校内外、本地区及更广范围内的实验教学资源共享，满足本地区、南京医科大学及多学科专业的虚拟仿真实验教学的需求，</w:t>
      </w:r>
      <w:r>
        <w:rPr>
          <w:rFonts w:hint="eastAsia" w:ascii="仿宋" w:hAnsi="仿宋" w:eastAsia="仿宋" w:cs="仿宋"/>
          <w:sz w:val="24"/>
          <w:szCs w:val="24"/>
          <w:lang w:val="en-US" w:eastAsia="zh-CN"/>
        </w:rPr>
        <w:t>要求平台模块可定制可</w:t>
      </w:r>
      <w:r>
        <w:rPr>
          <w:rFonts w:hint="eastAsia" w:ascii="仿宋" w:hAnsi="仿宋" w:eastAsia="仿宋" w:cs="仿宋"/>
          <w:sz w:val="24"/>
          <w:szCs w:val="24"/>
          <w:lang w:eastAsia="zh-CN"/>
        </w:rPr>
        <w:t>扩展、</w:t>
      </w:r>
      <w:r>
        <w:rPr>
          <w:rFonts w:hint="eastAsia" w:ascii="仿宋" w:hAnsi="仿宋" w:eastAsia="仿宋" w:cs="仿宋"/>
          <w:sz w:val="24"/>
          <w:szCs w:val="24"/>
          <w:lang w:val="en-US" w:eastAsia="zh-CN"/>
        </w:rPr>
        <w:t>具备</w:t>
      </w:r>
      <w:r>
        <w:rPr>
          <w:rFonts w:hint="eastAsia" w:ascii="仿宋" w:hAnsi="仿宋" w:eastAsia="仿宋" w:cs="仿宋"/>
          <w:sz w:val="24"/>
          <w:szCs w:val="24"/>
          <w:lang w:eastAsia="zh-CN"/>
        </w:rPr>
        <w:t>兼容性</w:t>
      </w:r>
      <w:r>
        <w:rPr>
          <w:rFonts w:hint="eastAsia" w:ascii="仿宋" w:hAnsi="仿宋" w:eastAsia="仿宋" w:cs="仿宋"/>
          <w:sz w:val="24"/>
          <w:szCs w:val="24"/>
          <w:lang w:val="en-US" w:eastAsia="zh-CN"/>
        </w:rPr>
        <w:t>和</w:t>
      </w:r>
      <w:r>
        <w:rPr>
          <w:rFonts w:hint="eastAsia" w:ascii="仿宋" w:hAnsi="仿宋" w:eastAsia="仿宋" w:cs="仿宋"/>
          <w:sz w:val="24"/>
          <w:szCs w:val="24"/>
          <w:lang w:eastAsia="zh-CN"/>
        </w:rPr>
        <w:t>前瞻性的共享</w:t>
      </w:r>
      <w:r>
        <w:rPr>
          <w:rFonts w:hint="eastAsia" w:ascii="仿宋" w:hAnsi="仿宋" w:eastAsia="仿宋" w:cs="仿宋"/>
          <w:sz w:val="24"/>
          <w:szCs w:val="24"/>
          <w:lang w:val="en-US" w:eastAsia="zh-CN"/>
        </w:rPr>
        <w:t>管理</w:t>
      </w:r>
      <w:r>
        <w:rPr>
          <w:rFonts w:hint="eastAsia" w:ascii="仿宋" w:hAnsi="仿宋" w:eastAsia="仿宋" w:cs="仿宋"/>
          <w:sz w:val="24"/>
          <w:szCs w:val="24"/>
          <w:lang w:eastAsia="zh-CN"/>
        </w:rPr>
        <w:t>平台，平台</w:t>
      </w:r>
      <w:r>
        <w:rPr>
          <w:rFonts w:hint="eastAsia" w:ascii="仿宋" w:hAnsi="仿宋" w:eastAsia="仿宋" w:cs="仿宋"/>
          <w:sz w:val="24"/>
          <w:szCs w:val="24"/>
          <w:lang w:val="en-US" w:eastAsia="zh-CN"/>
        </w:rPr>
        <w:t>能够</w:t>
      </w:r>
      <w:r>
        <w:rPr>
          <w:rFonts w:hint="eastAsia" w:ascii="仿宋" w:hAnsi="仿宋" w:eastAsia="仿宋" w:cs="仿宋"/>
          <w:sz w:val="24"/>
          <w:szCs w:val="24"/>
          <w:lang w:eastAsia="zh-CN"/>
        </w:rPr>
        <w:t>面向实验项目本身</w:t>
      </w:r>
      <w:r>
        <w:rPr>
          <w:rFonts w:hint="eastAsia" w:ascii="仿宋" w:hAnsi="仿宋" w:eastAsia="仿宋" w:cs="仿宋"/>
          <w:sz w:val="24"/>
          <w:szCs w:val="24"/>
          <w:lang w:val="en-US" w:eastAsia="zh-CN"/>
        </w:rPr>
        <w:t>展示，实现多维度多层次的数据监控，完成学校要求的各业务系统的对接工作，资源数据迁移对接工作</w:t>
      </w:r>
      <w:r>
        <w:rPr>
          <w:rFonts w:hint="eastAsia" w:ascii="仿宋" w:hAnsi="仿宋" w:eastAsia="仿宋" w:cs="仿宋"/>
          <w:color w:val="auto"/>
          <w:sz w:val="24"/>
          <w:szCs w:val="24"/>
          <w:highlight w:val="none"/>
          <w:lang w:val="zh-CN"/>
        </w:rPr>
        <w:t>。</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w:t>
      </w:r>
      <w:r>
        <w:rPr>
          <w:rFonts w:hint="eastAsia" w:ascii="仿宋" w:hAnsi="仿宋" w:eastAsia="仿宋" w:cs="仿宋"/>
          <w:bCs/>
          <w:kern w:val="2"/>
          <w:sz w:val="24"/>
          <w:szCs w:val="21"/>
          <w:lang w:val="en-US" w:eastAsia="zh-CN" w:bidi="ar-SA"/>
        </w:rPr>
        <w:t>交付使用时间：自合同正式签署生效起1个月内完成项目实施并验收，平台及各应用系统应进入正式运行</w:t>
      </w:r>
      <w:r>
        <w:rPr>
          <w:rFonts w:hint="eastAsia" w:ascii="仿宋" w:hAnsi="仿宋" w:eastAsia="仿宋" w:cs="仿宋"/>
          <w:b w:val="0"/>
          <w:bCs w:val="0"/>
          <w:sz w:val="24"/>
          <w:szCs w:val="24"/>
          <w:highlight w:val="none"/>
          <w:lang w:val="zh-TW" w:eastAsia="zh-CN"/>
        </w:rPr>
        <w:t>。</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8.本项目不接受联合体参与磋商。</w:t>
      </w:r>
    </w:p>
    <w:p>
      <w:pPr>
        <w:pStyle w:val="7"/>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二、申请人的资格要求</w:t>
      </w:r>
    </w:p>
    <w:p>
      <w:pPr>
        <w:shd w:val="clear"/>
        <w:snapToGrid w:val="0"/>
        <w:spacing w:line="360" w:lineRule="auto"/>
        <w:rPr>
          <w:rFonts w:hint="eastAsia" w:ascii="仿宋" w:hAnsi="仿宋" w:eastAsia="仿宋" w:cs="仿宋"/>
          <w:sz w:val="24"/>
          <w:szCs w:val="24"/>
          <w:highlight w:val="none"/>
          <w:lang w:eastAsia="zh-CN"/>
        </w:rPr>
      </w:pPr>
      <w:bookmarkStart w:id="3" w:name="bookmark31"/>
      <w:bookmarkEnd w:id="3"/>
      <w:bookmarkStart w:id="4" w:name="_Toc6126"/>
      <w:bookmarkStart w:id="5" w:name="bookmark34"/>
      <w:r>
        <w:rPr>
          <w:rFonts w:hint="eastAsia" w:ascii="仿宋" w:hAnsi="仿宋" w:eastAsia="仿宋" w:cs="仿宋"/>
          <w:sz w:val="24"/>
          <w:szCs w:val="24"/>
          <w:highlight w:val="none"/>
        </w:rPr>
        <w:t>（一）符合政府采购法第二十二条规定的条件</w:t>
      </w:r>
      <w:r>
        <w:rPr>
          <w:rFonts w:hint="eastAsia" w:ascii="仿宋" w:hAnsi="仿宋" w:eastAsia="仿宋" w:cs="仿宋"/>
          <w:sz w:val="24"/>
          <w:szCs w:val="24"/>
          <w:highlight w:val="none"/>
          <w:lang w:eastAsia="zh-CN"/>
        </w:rPr>
        <w:t>：</w:t>
      </w:r>
    </w:p>
    <w:p>
      <w:pPr>
        <w:shd w:val="clea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1、具有独立承担民事责任的能力（提供法人或者其他组织的营业执照复印件并加盖公章，或者自然人的身份证明</w:t>
      </w:r>
      <w:r>
        <w:rPr>
          <w:rFonts w:hint="eastAsia" w:ascii="仿宋" w:hAnsi="仿宋" w:eastAsia="仿宋" w:cs="仿宋"/>
          <w:color w:val="auto"/>
          <w:sz w:val="24"/>
          <w:szCs w:val="24"/>
          <w:highlight w:val="none"/>
          <w:lang w:val="en-US" w:eastAsia="zh-CN"/>
        </w:rPr>
        <w:t>）；</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2、具有良好的商业信誉和健全的财务会计制度（提供2021年度财务报告或银行出具的企业资信证明，法人或者其他组织成立未满一年的可提供近半年内任一月的资产负债和利润表）；</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3、具有履行合同所必需的设备和专业技术能力（根据项目需求提供履行合同所必需的设备和专业技术能力的证明材料或声明函）；</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4、有依法缴纳税收和社会保障资金的良好记录（提供参加本次采购活动前近六个月内任一月份依法缴纳税收及社会保险的凭据。依法免缴、迟缴的应提供相应文件证明）；</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5、参加本次采购活动前3年内在经营活动中没有重大违法记录（</w:t>
      </w:r>
      <w:r>
        <w:rPr>
          <w:rFonts w:hint="eastAsia" w:ascii="仿宋" w:hAnsi="仿宋" w:eastAsia="仿宋" w:cs="仿宋"/>
          <w:sz w:val="24"/>
          <w:szCs w:val="24"/>
        </w:rPr>
        <w:t>提供参加本次采购活动前3年内在经营活动中没有重大违法记录的书面声明</w:t>
      </w:r>
      <w:r>
        <w:rPr>
          <w:rFonts w:hint="eastAsia" w:ascii="仿宋" w:hAnsi="仿宋" w:eastAsia="仿宋" w:cs="仿宋"/>
          <w:sz w:val="24"/>
          <w:szCs w:val="24"/>
          <w:highlight w:val="none"/>
        </w:rPr>
        <w:t>）；</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6、法律、行政法规规定的其他条件</w:t>
      </w:r>
      <w:r>
        <w:rPr>
          <w:rFonts w:hint="eastAsia" w:ascii="仿宋" w:hAnsi="仿宋" w:eastAsia="仿宋" w:cs="仿宋"/>
          <w:sz w:val="24"/>
          <w:szCs w:val="24"/>
          <w:highlight w:val="none"/>
          <w:lang w:val="en-US" w:eastAsia="zh-CN"/>
        </w:rPr>
        <w:t>。</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（二）其他资格要求：</w:t>
      </w:r>
      <w:r>
        <w:rPr>
          <w:rFonts w:hint="eastAsia" w:ascii="仿宋" w:hAnsi="仿宋" w:eastAsia="仿宋" w:cs="仿宋"/>
          <w:b/>
          <w:bCs/>
          <w:i/>
          <w:iCs/>
          <w:color w:val="000000" w:themeColor="text1"/>
          <w:sz w:val="24"/>
          <w:szCs w:val="24"/>
          <w:u w:val="single"/>
          <w:lang w:val="en-US" w:eastAsia="zh-CN"/>
          <w14:textFill>
            <w14:solidFill>
              <w14:schemeClr w14:val="tx1"/>
            </w14:solidFill>
          </w14:textFill>
        </w:rPr>
        <w:t>无</w:t>
      </w:r>
      <w:r>
        <w:rPr>
          <w:rFonts w:hint="eastAsia" w:ascii="仿宋" w:hAnsi="仿宋" w:eastAsia="仿宋" w:cs="仿宋"/>
          <w:sz w:val="24"/>
          <w:szCs w:val="24"/>
          <w:highlight w:val="none"/>
          <w:lang w:val="en-US" w:eastAsia="zh-CN"/>
        </w:rPr>
        <w:t>。</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（三）拒绝下述投标供应商参加本次采购活动：</w:t>
      </w:r>
    </w:p>
    <w:bookmarkEnd w:id="4"/>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1、供应商单位负责人为同一人或者存在直接控股、管理关系的不同供应商，不得参加同一合同项下的政府采购活动；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2、凡为磋商项目提供整体设计、规范编制或者项目管理、监理、检测等服务的供应商，不得再参加本项目的采购活动；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3、供应商在磋商截止日前被“信用中国”网站（www.creditchina.gov.cn）、“中国政府采购网"(www.ccgp.gov.cn)列入失信被执行人、重大税收违法案件当事人名单、政府采购严重违法失信行为记录名单。</w:t>
      </w:r>
    </w:p>
    <w:p>
      <w:pPr>
        <w:pStyle w:val="7"/>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三</w:t>
      </w:r>
      <w:bookmarkEnd w:id="5"/>
      <w:r>
        <w:rPr>
          <w:rFonts w:hint="eastAsia" w:ascii="仿宋" w:hAnsi="仿宋" w:eastAsia="仿宋" w:cs="仿宋"/>
          <w:b/>
          <w:bCs/>
          <w:color w:val="000000"/>
          <w:spacing w:val="0"/>
          <w:w w:val="100"/>
          <w:position w:val="0"/>
          <w:sz w:val="24"/>
          <w:szCs w:val="24"/>
          <w:highlight w:val="none"/>
          <w:shd w:val="clear" w:color="auto" w:fill="auto"/>
          <w:lang w:val="en-US" w:eastAsia="zh-CN" w:bidi="en-US"/>
        </w:rPr>
        <w:t>、获取采购文件</w:t>
      </w:r>
    </w:p>
    <w:p>
      <w:pPr>
        <w:numPr>
          <w:ilvl w:val="0"/>
          <w:numId w:val="0"/>
        </w:numPr>
        <w:shd w:val="clear" w:color="auto"/>
        <w:spacing w:line="360" w:lineRule="auto"/>
        <w:ind w:right="0" w:rightChars="0" w:firstLine="482" w:firstLineChars="200"/>
        <w:rPr>
          <w:rFonts w:hint="eastAsia" w:ascii="仿宋" w:hAnsi="仿宋" w:eastAsia="仿宋" w:cs="仿宋"/>
          <w:sz w:val="24"/>
          <w:szCs w:val="24"/>
          <w:highlight w:val="none"/>
          <w:lang w:eastAsia="zh-CN"/>
        </w:rPr>
      </w:pPr>
      <w:bookmarkStart w:id="6" w:name="bookmark35"/>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eastAsia="zh-CN"/>
        </w:rPr>
        <w:t>日起至</w:t>
      </w:r>
      <w:r>
        <w:rPr>
          <w:rFonts w:hint="eastAsia" w:ascii="仿宋" w:hAnsi="仿宋" w:eastAsia="仿宋" w:cs="仿宋"/>
          <w:sz w:val="24"/>
          <w:szCs w:val="24"/>
          <w:highlight w:val="none"/>
          <w:lang w:val="en-US" w:eastAsia="zh-CN"/>
        </w:rPr>
        <w:t xml:space="preserve"> 2022年8</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lang w:eastAsia="zh-CN"/>
        </w:rPr>
        <w:t>日,每天上午09:00-12:00至下午13:30-17:3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北京时间，法定</w:t>
      </w:r>
      <w:r>
        <w:rPr>
          <w:rFonts w:hint="eastAsia" w:ascii="仿宋" w:hAnsi="仿宋" w:eastAsia="仿宋" w:cs="仿宋"/>
          <w:sz w:val="24"/>
          <w:szCs w:val="24"/>
          <w:highlight w:val="none"/>
          <w:lang w:eastAsia="zh-CN"/>
        </w:rPr>
        <w:t>节假日除外）。</w:t>
      </w:r>
    </w:p>
    <w:p>
      <w:pPr>
        <w:numPr>
          <w:ilvl w:val="0"/>
          <w:numId w:val="0"/>
        </w:numPr>
        <w:shd w:val="clear"/>
        <w:spacing w:line="360" w:lineRule="auto"/>
        <w:ind w:right="0" w:righ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地点</w:t>
      </w:r>
      <w:r>
        <w:rPr>
          <w:rFonts w:hint="eastAsia" w:ascii="仿宋" w:hAnsi="仿宋" w:eastAsia="仿宋" w:cs="仿宋"/>
          <w:sz w:val="24"/>
          <w:szCs w:val="24"/>
          <w:highlight w:val="none"/>
        </w:rPr>
        <w:t>：</w:t>
      </w:r>
      <w:r>
        <w:rPr>
          <w:rFonts w:hint="eastAsia" w:ascii="仿宋" w:hAnsi="仿宋" w:eastAsia="仿宋" w:cs="仿宋"/>
          <w:bCs/>
          <w:color w:val="000000"/>
          <w:sz w:val="24"/>
          <w:szCs w:val="24"/>
          <w:highlight w:val="none"/>
        </w:rPr>
        <w:t>南京市秦淮区光华东街6号世界之窗创意产业园</w:t>
      </w:r>
      <w:r>
        <w:rPr>
          <w:rFonts w:hint="eastAsia" w:ascii="仿宋" w:hAnsi="仿宋" w:eastAsia="仿宋" w:cs="仿宋"/>
          <w:bCs/>
          <w:color w:val="000000"/>
          <w:sz w:val="24"/>
          <w:szCs w:val="24"/>
          <w:highlight w:val="none"/>
          <w:lang w:eastAsia="zh-CN"/>
        </w:rPr>
        <w:t>15幢4楼</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南京达琛鑫工程</w:t>
      </w:r>
      <w:r>
        <w:rPr>
          <w:rFonts w:hint="eastAsia" w:ascii="仿宋" w:hAnsi="仿宋" w:eastAsia="仿宋" w:cs="仿宋"/>
          <w:bCs/>
          <w:color w:val="000000"/>
          <w:sz w:val="24"/>
          <w:szCs w:val="24"/>
          <w:highlight w:val="none"/>
          <w:lang w:val="en-US" w:eastAsia="zh-CN"/>
        </w:rPr>
        <w:t>咨</w:t>
      </w:r>
      <w:r>
        <w:rPr>
          <w:rFonts w:hint="eastAsia" w:ascii="仿宋" w:hAnsi="仿宋" w:eastAsia="仿宋" w:cs="仿宋"/>
          <w:bCs/>
          <w:color w:val="000000"/>
          <w:sz w:val="24"/>
          <w:szCs w:val="24"/>
          <w:highlight w:val="none"/>
        </w:rPr>
        <w:t>询有限公司，联系电话:</w:t>
      </w:r>
      <w:r>
        <w:rPr>
          <w:rFonts w:hint="eastAsia" w:ascii="仿宋" w:hAnsi="仿宋" w:eastAsia="仿宋" w:cs="仿宋"/>
          <w:bCs/>
          <w:color w:val="000000"/>
          <w:sz w:val="24"/>
          <w:szCs w:val="24"/>
          <w:highlight w:val="none"/>
          <w:lang w:eastAsia="zh-CN"/>
        </w:rPr>
        <w:t>025-52639995</w:t>
      </w:r>
      <w:r>
        <w:rPr>
          <w:rFonts w:hint="eastAsia" w:ascii="仿宋" w:hAnsi="仿宋" w:eastAsia="仿宋" w:cs="仿宋"/>
          <w:bCs/>
          <w:color w:val="000000"/>
          <w:sz w:val="24"/>
          <w:szCs w:val="24"/>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方式</w:t>
      </w:r>
      <w:r>
        <w:rPr>
          <w:rFonts w:hint="eastAsia" w:ascii="仿宋" w:hAnsi="仿宋" w:eastAsia="仿宋" w:cs="仿宋"/>
          <w:sz w:val="24"/>
          <w:szCs w:val="24"/>
          <w:highlight w:val="none"/>
        </w:rPr>
        <w:t>：</w:t>
      </w:r>
    </w:p>
    <w:p>
      <w:pPr>
        <w:shd w:val="clea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highlight w:val="none"/>
        </w:rPr>
        <w:t>①现场报名：须携带</w:t>
      </w:r>
      <w:r>
        <w:rPr>
          <w:rFonts w:hint="eastAsia" w:ascii="仿宋" w:hAnsi="仿宋" w:eastAsia="仿宋" w:cs="仿宋"/>
          <w:bCs/>
          <w:sz w:val="24"/>
          <w:highlight w:val="none"/>
          <w:lang w:val="en-US" w:eastAsia="zh-CN"/>
        </w:rPr>
        <w:t>采购文件登记表</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营业执照副本复印件、法人授权委托书、法人及受托人身份证复印件，并加盖公章。</w:t>
      </w:r>
      <w:r>
        <w:rPr>
          <w:rFonts w:hint="eastAsia" w:ascii="仿宋" w:hAnsi="仿宋" w:eastAsia="仿宋" w:cs="仿宋"/>
          <w:sz w:val="24"/>
          <w:szCs w:val="24"/>
          <w:highlight w:val="none"/>
        </w:rPr>
        <w:t>（疫情特殊时期建议网上报名）</w:t>
      </w:r>
    </w:p>
    <w:p>
      <w:pPr>
        <w:shd w:val="clea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highlight w:val="none"/>
          <w:lang w:val="en-US" w:eastAsia="zh-CN"/>
        </w:rPr>
        <w:t>②网上报名：</w:t>
      </w:r>
      <w:r>
        <w:rPr>
          <w:rFonts w:hint="eastAsia" w:ascii="仿宋" w:hAnsi="仿宋" w:eastAsia="仿宋" w:cs="仿宋"/>
          <w:bCs/>
          <w:sz w:val="24"/>
          <w:highlight w:val="none"/>
          <w:lang w:val="en-US" w:eastAsia="zh-CN"/>
        </w:rPr>
        <w:fldChar w:fldCharType="begin"/>
      </w:r>
      <w:r>
        <w:rPr>
          <w:rFonts w:hint="eastAsia" w:ascii="仿宋" w:hAnsi="仿宋" w:eastAsia="仿宋" w:cs="仿宋"/>
          <w:bCs/>
          <w:sz w:val="24"/>
          <w:highlight w:val="none"/>
          <w:lang w:val="en-US" w:eastAsia="zh-CN"/>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bCs/>
          <w:sz w:val="24"/>
          <w:highlight w:val="none"/>
          <w:lang w:val="en-US" w:eastAsia="zh-CN"/>
        </w:rPr>
        <w:fldChar w:fldCharType="separate"/>
      </w:r>
      <w:r>
        <w:rPr>
          <w:rFonts w:hint="eastAsia" w:ascii="仿宋" w:hAnsi="仿宋" w:eastAsia="仿宋" w:cs="仿宋"/>
          <w:bCs/>
          <w:sz w:val="24"/>
          <w:highlight w:val="none"/>
          <w:lang w:val="en-US" w:eastAsia="zh-CN"/>
        </w:rPr>
        <w:t>须将报名资料：(1.采购文件登记表2.营业执照副本3.法人授权委托书4.法人及受托人身份证5.标书费支付截图）加盖公章扫描件发到（njdcx_gczx@163.com）邮箱</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并提供纸质文件寄送地址</w:t>
      </w:r>
      <w:r>
        <w:rPr>
          <w:rFonts w:hint="eastAsia" w:ascii="仿宋" w:hAnsi="仿宋" w:eastAsia="仿宋" w:cs="仿宋"/>
          <w:bCs/>
          <w:sz w:val="24"/>
          <w:highlight w:val="none"/>
          <w:lang w:val="en-US" w:eastAsia="en-US"/>
        </w:rPr>
        <w:t>。具体信息详见“</w:t>
      </w:r>
      <w:r>
        <w:rPr>
          <w:rFonts w:hint="eastAsia" w:ascii="仿宋" w:hAnsi="仿宋" w:eastAsia="仿宋" w:cs="仿宋"/>
          <w:bCs/>
          <w:sz w:val="24"/>
          <w:highlight w:val="none"/>
          <w:lang w:val="en-US" w:eastAsia="zh-CN"/>
        </w:rPr>
        <w:t>采购文件登记表</w:t>
      </w:r>
      <w:r>
        <w:rPr>
          <w:rFonts w:hint="eastAsia" w:ascii="仿宋" w:hAnsi="仿宋" w:eastAsia="仿宋" w:cs="仿宋"/>
          <w:bCs/>
          <w:sz w:val="24"/>
          <w:highlight w:val="none"/>
          <w:lang w:val="en-US" w:eastAsia="en-US"/>
        </w:rPr>
        <w:t>”</w:t>
      </w:r>
      <w:r>
        <w:rPr>
          <w:rFonts w:hint="eastAsia" w:ascii="仿宋" w:hAnsi="仿宋" w:eastAsia="仿宋" w:cs="仿宋"/>
          <w:bCs/>
          <w:sz w:val="24"/>
          <w:highlight w:val="none"/>
          <w:lang w:val="en-US" w:eastAsia="zh-CN"/>
        </w:rPr>
        <w:fldChar w:fldCharType="end"/>
      </w:r>
      <w:r>
        <w:rPr>
          <w:rFonts w:hint="eastAsia" w:ascii="仿宋" w:hAnsi="仿宋" w:eastAsia="仿宋" w:cs="仿宋"/>
          <w:bCs/>
          <w:sz w:val="24"/>
          <w:highlight w:val="none"/>
          <w:lang w:val="en-US" w:eastAsia="zh-CN"/>
        </w:rPr>
        <w:t>。</w:t>
      </w:r>
    </w:p>
    <w:p>
      <w:pPr>
        <w:numPr>
          <w:ilvl w:val="0"/>
          <w:numId w:val="0"/>
        </w:numPr>
        <w:shd w:val="clear"/>
        <w:snapToGrid w:val="0"/>
        <w:spacing w:line="360" w:lineRule="auto"/>
        <w:ind w:leftChars="200" w:right="0" w:rightChars="0"/>
        <w:rPr>
          <w:rFonts w:hint="default" w:ascii="仿宋" w:hAnsi="仿宋" w:eastAsia="仿宋" w:cs="仿宋"/>
          <w:sz w:val="24"/>
          <w:szCs w:val="24"/>
          <w:highlight w:val="none"/>
          <w:lang w:val="en-US"/>
        </w:rPr>
      </w:pPr>
      <w:r>
        <w:rPr>
          <w:rFonts w:hint="eastAsia" w:ascii="仿宋" w:hAnsi="仿宋" w:eastAsia="仿宋" w:cs="仿宋"/>
          <w:b/>
          <w:bCs/>
          <w:sz w:val="24"/>
          <w:szCs w:val="24"/>
          <w:highlight w:val="none"/>
        </w:rPr>
        <w:t>如有其他支付方式请与我公司报名处人员联系，联系电话为：</w:t>
      </w:r>
      <w:r>
        <w:rPr>
          <w:rFonts w:hint="eastAsia" w:ascii="仿宋" w:hAnsi="仿宋" w:eastAsia="仿宋" w:cs="仿宋"/>
          <w:b/>
          <w:bCs/>
          <w:sz w:val="24"/>
          <w:szCs w:val="24"/>
          <w:highlight w:val="none"/>
          <w:lang w:eastAsia="zh-CN"/>
        </w:rPr>
        <w:t>025-52639995</w:t>
      </w:r>
      <w:r>
        <w:rPr>
          <w:rFonts w:hint="eastAsia" w:ascii="仿宋" w:hAnsi="仿宋" w:eastAsia="仿宋" w:cs="仿宋"/>
          <w:b/>
          <w:bCs/>
          <w:sz w:val="24"/>
          <w:szCs w:val="24"/>
          <w:highlight w:val="none"/>
          <w:lang w:val="en-US" w:eastAsia="zh-CN"/>
        </w:rPr>
        <w:t>。</w:t>
      </w:r>
    </w:p>
    <w:p>
      <w:pPr>
        <w:numPr>
          <w:ilvl w:val="0"/>
          <w:numId w:val="0"/>
        </w:numPr>
        <w:shd w:val="clear"/>
        <w:spacing w:line="360" w:lineRule="auto"/>
        <w:ind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4、磋商</w:t>
      </w:r>
      <w:r>
        <w:rPr>
          <w:rFonts w:hint="eastAsia" w:ascii="仿宋" w:hAnsi="仿宋" w:eastAsia="仿宋" w:cs="仿宋"/>
          <w:b/>
          <w:bCs/>
          <w:sz w:val="24"/>
          <w:highlight w:val="none"/>
          <w:lang w:eastAsia="zh-CN"/>
        </w:rPr>
        <w:t>公告</w:t>
      </w:r>
      <w:r>
        <w:rPr>
          <w:rFonts w:hint="eastAsia" w:ascii="仿宋" w:hAnsi="仿宋" w:eastAsia="仿宋" w:cs="仿宋"/>
          <w:bCs w:val="0"/>
          <w:sz w:val="24"/>
          <w:highlight w:val="none"/>
          <w:lang w:eastAsia="zh-CN"/>
        </w:rPr>
        <w:t>在</w:t>
      </w:r>
      <w:r>
        <w:rPr>
          <w:rFonts w:hint="eastAsia" w:ascii="仿宋" w:hAnsi="仿宋" w:eastAsia="仿宋" w:cs="仿宋"/>
          <w:bCs/>
          <w:sz w:val="24"/>
          <w:szCs w:val="24"/>
          <w:highlight w:val="none"/>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highlight w:val="none"/>
        </w:rPr>
        <w:t>”</w:t>
      </w:r>
      <w:r>
        <w:rPr>
          <w:rFonts w:hint="eastAsia" w:ascii="仿宋" w:hAnsi="仿宋" w:eastAsia="仿宋" w:cs="仿宋"/>
          <w:sz w:val="24"/>
          <w:szCs w:val="24"/>
          <w:highlight w:val="none"/>
          <w:lang w:eastAsia="zh-CN"/>
        </w:rPr>
        <w:t>发布。</w:t>
      </w:r>
    </w:p>
    <w:p>
      <w:pPr>
        <w:pStyle w:val="7"/>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四</w:t>
      </w:r>
      <w:bookmarkEnd w:id="6"/>
      <w:r>
        <w:rPr>
          <w:rFonts w:hint="eastAsia" w:ascii="仿宋" w:hAnsi="仿宋" w:eastAsia="仿宋" w:cs="仿宋"/>
          <w:b/>
          <w:bCs/>
          <w:color w:val="000000"/>
          <w:spacing w:val="0"/>
          <w:w w:val="100"/>
          <w:position w:val="0"/>
          <w:sz w:val="24"/>
          <w:szCs w:val="24"/>
          <w:highlight w:val="none"/>
          <w:shd w:val="clear" w:color="auto" w:fill="auto"/>
          <w:lang w:val="en-US" w:eastAsia="zh-CN" w:bidi="en-US"/>
        </w:rPr>
        <w:t>、响应文件提交</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响应文件开始接收时间：2022年8月22日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响应文件接收截止时间：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022年8月22日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响应文件接收地点：南京市秦淮区光华东街6号世界之窗产业园15幢3楼开标室</w:t>
      </w:r>
    </w:p>
    <w:p>
      <w:pPr>
        <w:pStyle w:val="7"/>
        <w:pageBreakBefore w:val="0"/>
        <w:shd w:val="clear" w:color="auto" w:fill="auto"/>
        <w:kinsoku/>
        <w:wordWrap/>
        <w:overflowPunct/>
        <w:topLinePunct w:val="0"/>
        <w:autoSpaceDE/>
        <w:autoSpaceDN/>
        <w:bidi w:val="0"/>
        <w:spacing w:line="360" w:lineRule="auto"/>
        <w:ind w:left="0" w:leftChars="0" w:firstLine="0" w:firstLineChars="0"/>
        <w:textAlignment w:val="auto"/>
        <w:rPr>
          <w:rFonts w:hint="default"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五、响应文件开启</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022年8月22日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shd w:val="clear" w:color="auto"/>
        <w:spacing w:line="360" w:lineRule="auto"/>
        <w:ind w:firstLine="480"/>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地址：南京市秦淮区光华东街6号世界之窗产业园15幢4楼会议室</w:t>
      </w:r>
    </w:p>
    <w:p>
      <w:pPr>
        <w:numPr>
          <w:ilvl w:val="0"/>
          <w:numId w:val="0"/>
        </w:numPr>
        <w:shd w:val="clear"/>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六、公告期限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个工作日。</w:t>
      </w:r>
    </w:p>
    <w:p>
      <w:pPr>
        <w:numPr>
          <w:ilvl w:val="0"/>
          <w:numId w:val="0"/>
        </w:numPr>
        <w:shd w:val="clear" w:color="auto"/>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七、其他补充事宜</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bookmarkStart w:id="7" w:name="_GoBack"/>
      <w:bookmarkEnd w:id="7"/>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jc w:val="left"/>
        <w:textAlignment w:val="auto"/>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t>八、对本次采购提出询问，请按以下方式联系。</w:t>
      </w:r>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1.项目联系方式</w:t>
      </w:r>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项目联系人：徐工       </w:t>
      </w:r>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电话：025-52639995(8009)</w:t>
      </w:r>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2.</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购人信息</w:t>
      </w:r>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名称：南京医科大学</w:t>
      </w:r>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联系人：吕老师     </w:t>
      </w:r>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电话：025-86868572</w:t>
      </w:r>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地址：南京市江宁区龙眠大道101号 </w:t>
      </w:r>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3.</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购代理机构信息</w:t>
      </w:r>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名称：南京达琛鑫工程咨询有限公司</w:t>
      </w:r>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地址：南京市秦淮区光华东街6号世界之窗创意产业园15幢</w:t>
      </w:r>
    </w:p>
    <w:p>
      <w:pPr>
        <w:pStyle w:val="13"/>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电子邮箱：njdcx_gczx@163.com</w:t>
      </w: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i w:val="0"/>
          <w:iCs w:val="0"/>
          <w:color w:val="000000"/>
          <w:spacing w:val="0"/>
          <w:w w:val="100"/>
          <w:position w:val="0"/>
          <w:sz w:val="24"/>
          <w:szCs w:val="24"/>
          <w:highlight w:val="none"/>
          <w:u w:val="none"/>
          <w:lang w:val="en-US" w:eastAsia="zh-CN"/>
        </w:rPr>
        <w:t>南京达琛鑫工程咨询有限公司</w:t>
      </w:r>
    </w:p>
    <w:p>
      <w:pPr>
        <w:pageBreakBefore w:val="0"/>
        <w:shd w:val="clear" w:color="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2022年8月10日</w:t>
      </w:r>
    </w:p>
    <w:p>
      <w:pPr>
        <w:pStyle w:val="7"/>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pStyle w:val="7"/>
        <w:ind w:left="0" w:leftChars="0" w:firstLine="0" w:firstLineChars="0"/>
        <w:rPr>
          <w:rFonts w:hint="eastAsia" w:ascii="仿宋" w:hAnsi="仿宋" w:eastAsia="仿宋" w:cs="仿宋"/>
          <w:bCs w:val="0"/>
          <w:color w:val="000000"/>
          <w:spacing w:val="0"/>
          <w:w w:val="100"/>
          <w:position w:val="0"/>
          <w:sz w:val="24"/>
          <w:szCs w:val="24"/>
          <w:highlight w:val="none"/>
          <w:shd w:val="clear" w:color="auto" w:fill="auto"/>
          <w:lang w:val="en-US" w:eastAsia="zh-CN" w:bidi="en-US"/>
        </w:rPr>
        <w:sectPr>
          <w:headerReference r:id="rId5" w:type="default"/>
          <w:footerReference r:id="rId6" w:type="default"/>
          <w:pgSz w:w="11906" w:h="16838"/>
          <w:pgMar w:top="1440" w:right="1080" w:bottom="1440" w:left="1080" w:header="851" w:footer="992" w:gutter="0"/>
          <w:cols w:space="425" w:num="1"/>
          <w:docGrid w:type="lines" w:linePitch="312" w:charSpace="0"/>
        </w:sectPr>
      </w:pPr>
    </w:p>
    <w:p>
      <w:pPr>
        <w:pStyle w:val="7"/>
        <w:ind w:left="0" w:leftChars="0" w:firstLine="0" w:firstLineChars="0"/>
        <w:rPr>
          <w:rFonts w:hint="eastAsia" w:ascii="仿宋" w:hAnsi="仿宋" w:eastAsia="仿宋" w:cs="仿宋"/>
          <w:highlight w:val="none"/>
          <w:lang w:eastAsia="zh-CN"/>
        </w:rPr>
      </w:pPr>
      <w:r>
        <w:rPr>
          <w:rFonts w:hint="eastAsia" w:ascii="仿宋" w:hAnsi="仿宋" w:eastAsia="仿宋" w:cs="仿宋"/>
          <w:highlight w:val="none"/>
          <w:lang w:eastAsia="zh-CN"/>
        </w:rPr>
        <w:t>附件：</w:t>
      </w:r>
    </w:p>
    <w:tbl>
      <w:tblPr>
        <w:tblStyle w:val="8"/>
        <w:tblpPr w:leftFromText="180" w:rightFromText="180" w:vertAnchor="text" w:horzAnchor="page" w:tblpXSpec="center" w:tblpY="145"/>
        <w:tblOverlap w:val="never"/>
        <w:tblW w:w="50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794"/>
        <w:gridCol w:w="1910"/>
        <w:gridCol w:w="962"/>
        <w:gridCol w:w="2644"/>
        <w:gridCol w:w="1394"/>
        <w:gridCol w:w="2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23"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92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46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128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2022年8月17日</w:t>
            </w:r>
          </w:p>
        </w:tc>
        <w:tc>
          <w:tcPr>
            <w:tcW w:w="67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102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2022年8月22日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jc w:val="center"/>
        </w:trPr>
        <w:tc>
          <w:tcPr>
            <w:tcW w:w="62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NJDCX-202206141325</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9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南京医科大学虚拟仿真实验教学共享平台采购项目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62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18"/>
                <w:sz w:val="24"/>
                <w:szCs w:val="24"/>
                <w:highlight w:val="none"/>
                <w:lang w:val="en-US" w:eastAsia="zh-CN" w:bidi="ar"/>
              </w:rPr>
              <w:t>□</w:t>
            </w:r>
            <w:r>
              <w:rPr>
                <w:rStyle w:val="19"/>
                <w:sz w:val="24"/>
                <w:szCs w:val="24"/>
                <w:highlight w:val="none"/>
                <w:lang w:val="en-US" w:eastAsia="zh-CN" w:bidi="ar"/>
              </w:rPr>
              <w:t>电子邮件</w:t>
            </w: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文件价格:500元/份（售后不退）</w:t>
            </w:r>
          </w:p>
        </w:tc>
        <w:tc>
          <w:tcPr>
            <w:tcW w:w="16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jc w:val="center"/>
        </w:trPr>
        <w:tc>
          <w:tcPr>
            <w:tcW w:w="238"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333375</wp:posOffset>
                  </wp:positionH>
                  <wp:positionV relativeFrom="paragraph">
                    <wp:posOffset>66675</wp:posOffset>
                  </wp:positionV>
                  <wp:extent cx="1590675" cy="1952625"/>
                  <wp:effectExtent l="0" t="0" r="9525" b="952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8"/>
                          <a:srcRect/>
                          <a:stretch>
                            <a:fillRect/>
                          </a:stretch>
                        </pic:blipFill>
                        <pic:spPr>
                          <a:xfrm>
                            <a:off x="0" y="0"/>
                            <a:ext cx="1590675" cy="195262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7"/>
              <w:rPr>
                <w:rFonts w:hint="eastAsia"/>
                <w:highlight w:val="none"/>
              </w:rPr>
            </w:pPr>
          </w:p>
          <w:p>
            <w:pPr>
              <w:rPr>
                <w:rFonts w:hint="eastAsia"/>
                <w:highlight w:val="none"/>
              </w:rPr>
            </w:pPr>
          </w:p>
          <w:p>
            <w:pPr>
              <w:pStyle w:val="7"/>
              <w:rPr>
                <w:rFonts w:hint="eastAsia"/>
                <w:highlight w:val="none"/>
              </w:rPr>
            </w:pPr>
          </w:p>
          <w:p>
            <w:pPr>
              <w:rPr>
                <w:rFonts w:hint="eastAsia"/>
                <w:highlight w:val="none"/>
              </w:rPr>
            </w:pPr>
          </w:p>
          <w:p>
            <w:pPr>
              <w:pStyle w:val="7"/>
              <w:rPr>
                <w:rFonts w:hint="eastAsia"/>
                <w:highlight w:val="none"/>
              </w:rPr>
            </w:pPr>
          </w:p>
          <w:p>
            <w:pPr>
              <w:rPr>
                <w:rFonts w:hint="eastAsia"/>
                <w:highlight w:val="none"/>
              </w:rPr>
            </w:pPr>
          </w:p>
          <w:p>
            <w:pPr>
              <w:pStyle w:val="7"/>
              <w:rPr>
                <w:rFonts w:hint="eastAsia"/>
                <w:highlight w:val="none"/>
              </w:rPr>
            </w:pPr>
          </w:p>
          <w:p>
            <w:pPr>
              <w:rPr>
                <w:rFonts w:hint="eastAsia"/>
                <w:highlight w:val="none"/>
              </w:rPr>
            </w:pPr>
          </w:p>
          <w:p>
            <w:pPr>
              <w:pStyle w:val="7"/>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20"/>
                <w:rFonts w:ascii="宋体" w:hAnsi="宋体" w:eastAsia="宋体" w:cs="宋体"/>
                <w:sz w:val="24"/>
                <w:szCs w:val="24"/>
                <w:highlight w:val="none"/>
                <w:lang w:val="en-US" w:eastAsia="zh-CN" w:bidi="ar"/>
              </w:rPr>
              <w:br w:type="textWrapping"/>
            </w:r>
            <w:r>
              <w:rPr>
                <w:rStyle w:val="20"/>
                <w:rFonts w:hint="eastAsia" w:ascii="仿宋" w:hAnsi="仿宋" w:eastAsia="仿宋" w:cs="仿宋"/>
                <w:sz w:val="16"/>
                <w:szCs w:val="16"/>
                <w:highlight w:val="none"/>
                <w:lang w:val="en-US" w:eastAsia="zh-CN" w:bidi="ar"/>
              </w:rPr>
              <w:t>（标书的电子文档、后续澄清公告可以通过E-mail发送给供应商）</w:t>
            </w: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699"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w:t>
            </w:r>
            <w:r>
              <w:rPr>
                <w:rFonts w:hint="eastAsia" w:ascii="仿宋" w:hAnsi="仿宋" w:eastAsia="仿宋" w:cs="仿宋"/>
                <w:b/>
                <w:bCs/>
                <w:i w:val="0"/>
                <w:iCs w:val="0"/>
                <w:color w:val="000000"/>
                <w:kern w:val="0"/>
                <w:sz w:val="28"/>
                <w:szCs w:val="28"/>
                <w:highlight w:val="none"/>
                <w:u w:val="none"/>
                <w:lang w:val="en-US" w:eastAsia="zh-CN" w:bidi="ar"/>
              </w:rPr>
              <w:t xml:space="preserve">请将以上电子扫描件发至 </w:t>
            </w:r>
            <w:r>
              <w:rPr>
                <w:rStyle w:val="21"/>
                <w:b/>
                <w:bCs/>
                <w:sz w:val="28"/>
                <w:szCs w:val="28"/>
                <w:highlight w:val="none"/>
                <w:lang w:val="en-US" w:eastAsia="zh-CN" w:bidi="ar"/>
              </w:rPr>
              <w:t>njdcx_gczx@163.com</w:t>
            </w:r>
            <w:r>
              <w:rPr>
                <w:rStyle w:val="22"/>
                <w:b/>
                <w:bCs/>
                <w:sz w:val="28"/>
                <w:szCs w:val="28"/>
                <w:highlight w:val="none"/>
                <w:lang w:val="en-US" w:eastAsia="zh-CN" w:bidi="ar"/>
              </w:rPr>
              <w:t xml:space="preserve"> 邮箱</w:t>
            </w:r>
            <w:r>
              <w:rPr>
                <w:rStyle w:val="22"/>
                <w:b/>
                <w:bCs/>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17"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代理机构经办人：徐工</w:t>
            </w:r>
          </w:p>
        </w:tc>
        <w:tc>
          <w:tcPr>
            <w:tcW w:w="2982"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电话：025-52639995转8009      </w:t>
            </w:r>
          </w:p>
        </w:tc>
      </w:tr>
    </w:tbl>
    <w:p>
      <w:pPr>
        <w:rPr>
          <w:rFonts w:hint="default"/>
          <w:highlight w:val="none"/>
          <w:lang w:val="en-US" w:eastAsia="zh-CN"/>
        </w:rPr>
      </w:pPr>
    </w:p>
    <w:sectPr>
      <w:pgSz w:w="11906" w:h="16838"/>
      <w:pgMar w:top="737" w:right="969" w:bottom="737" w:left="96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N2MyYTNmZjE0NjJlYzA2ZTJkZjVjMWE5ZTY4MjYifQ=="/>
  </w:docVars>
  <w:rsids>
    <w:rsidRoot w:val="13C15644"/>
    <w:rsid w:val="00942FA4"/>
    <w:rsid w:val="00B70505"/>
    <w:rsid w:val="029A7671"/>
    <w:rsid w:val="02DB3520"/>
    <w:rsid w:val="02DC182C"/>
    <w:rsid w:val="03323B5F"/>
    <w:rsid w:val="034C1129"/>
    <w:rsid w:val="04143B3D"/>
    <w:rsid w:val="045B45C7"/>
    <w:rsid w:val="057068DA"/>
    <w:rsid w:val="063A50DF"/>
    <w:rsid w:val="06AC246D"/>
    <w:rsid w:val="06C77CFF"/>
    <w:rsid w:val="097407A6"/>
    <w:rsid w:val="09C713F1"/>
    <w:rsid w:val="0A161E64"/>
    <w:rsid w:val="0A246286"/>
    <w:rsid w:val="0B9956C3"/>
    <w:rsid w:val="0C502AF5"/>
    <w:rsid w:val="0D1D792C"/>
    <w:rsid w:val="0D2930D6"/>
    <w:rsid w:val="0FC61BDA"/>
    <w:rsid w:val="110044A1"/>
    <w:rsid w:val="114B1EF3"/>
    <w:rsid w:val="11800151"/>
    <w:rsid w:val="13B55A9A"/>
    <w:rsid w:val="13C15644"/>
    <w:rsid w:val="14330AE6"/>
    <w:rsid w:val="15C336ED"/>
    <w:rsid w:val="166D3A88"/>
    <w:rsid w:val="16BA372C"/>
    <w:rsid w:val="183B00A0"/>
    <w:rsid w:val="18572376"/>
    <w:rsid w:val="19085B5D"/>
    <w:rsid w:val="19731E5C"/>
    <w:rsid w:val="1A64447B"/>
    <w:rsid w:val="1AD961FE"/>
    <w:rsid w:val="1B4E5583"/>
    <w:rsid w:val="1C8707D2"/>
    <w:rsid w:val="1CD54D7F"/>
    <w:rsid w:val="1D496392"/>
    <w:rsid w:val="1E6F0466"/>
    <w:rsid w:val="20C122BA"/>
    <w:rsid w:val="23C80C3A"/>
    <w:rsid w:val="2415796E"/>
    <w:rsid w:val="26475084"/>
    <w:rsid w:val="2685720D"/>
    <w:rsid w:val="26AD4DB5"/>
    <w:rsid w:val="28532B2D"/>
    <w:rsid w:val="28685D2A"/>
    <w:rsid w:val="28C7001D"/>
    <w:rsid w:val="294A5F07"/>
    <w:rsid w:val="298770E7"/>
    <w:rsid w:val="29886A9F"/>
    <w:rsid w:val="29FE1040"/>
    <w:rsid w:val="2A6E339C"/>
    <w:rsid w:val="2D8B51B7"/>
    <w:rsid w:val="2F084A7A"/>
    <w:rsid w:val="30246AF4"/>
    <w:rsid w:val="355A4128"/>
    <w:rsid w:val="35E973CE"/>
    <w:rsid w:val="36182A7D"/>
    <w:rsid w:val="36CE58D1"/>
    <w:rsid w:val="388D3583"/>
    <w:rsid w:val="38B612C1"/>
    <w:rsid w:val="397A7BF1"/>
    <w:rsid w:val="39D24C29"/>
    <w:rsid w:val="3A5517E9"/>
    <w:rsid w:val="3BB64627"/>
    <w:rsid w:val="3C64602B"/>
    <w:rsid w:val="3CD270F6"/>
    <w:rsid w:val="3DB21424"/>
    <w:rsid w:val="3E0F496B"/>
    <w:rsid w:val="3E6E57D0"/>
    <w:rsid w:val="3F3C3951"/>
    <w:rsid w:val="3F777356"/>
    <w:rsid w:val="404B0D3D"/>
    <w:rsid w:val="405E138E"/>
    <w:rsid w:val="415A0E84"/>
    <w:rsid w:val="4161246A"/>
    <w:rsid w:val="41E65357"/>
    <w:rsid w:val="42697412"/>
    <w:rsid w:val="43B50911"/>
    <w:rsid w:val="44825F82"/>
    <w:rsid w:val="45274686"/>
    <w:rsid w:val="469D10C9"/>
    <w:rsid w:val="47646F28"/>
    <w:rsid w:val="477A1842"/>
    <w:rsid w:val="48A507C7"/>
    <w:rsid w:val="4A946F87"/>
    <w:rsid w:val="4B395F55"/>
    <w:rsid w:val="4B753AB9"/>
    <w:rsid w:val="4BB9615E"/>
    <w:rsid w:val="4CA7491F"/>
    <w:rsid w:val="4CE065DE"/>
    <w:rsid w:val="4E3015C1"/>
    <w:rsid w:val="4FCD5CD8"/>
    <w:rsid w:val="4FCD6512"/>
    <w:rsid w:val="4FE45F4D"/>
    <w:rsid w:val="50785CFB"/>
    <w:rsid w:val="51A5323D"/>
    <w:rsid w:val="52753472"/>
    <w:rsid w:val="527A1FF3"/>
    <w:rsid w:val="52CB49A7"/>
    <w:rsid w:val="54253BCD"/>
    <w:rsid w:val="54684AFA"/>
    <w:rsid w:val="54C85109"/>
    <w:rsid w:val="55005DE4"/>
    <w:rsid w:val="558B2D22"/>
    <w:rsid w:val="57B06081"/>
    <w:rsid w:val="58C73475"/>
    <w:rsid w:val="595E370F"/>
    <w:rsid w:val="5A243DC6"/>
    <w:rsid w:val="5B2C52FE"/>
    <w:rsid w:val="5BA11996"/>
    <w:rsid w:val="5BC910DF"/>
    <w:rsid w:val="5C2F4629"/>
    <w:rsid w:val="5C867876"/>
    <w:rsid w:val="5CD05EC1"/>
    <w:rsid w:val="5DEF30DC"/>
    <w:rsid w:val="5E686100"/>
    <w:rsid w:val="5E8B2D25"/>
    <w:rsid w:val="5F453439"/>
    <w:rsid w:val="62AA06C9"/>
    <w:rsid w:val="6423307C"/>
    <w:rsid w:val="64C527B4"/>
    <w:rsid w:val="64D02E1A"/>
    <w:rsid w:val="65253E42"/>
    <w:rsid w:val="65FB546B"/>
    <w:rsid w:val="6620406B"/>
    <w:rsid w:val="66501398"/>
    <w:rsid w:val="66CA5AC8"/>
    <w:rsid w:val="675B4324"/>
    <w:rsid w:val="675F1320"/>
    <w:rsid w:val="6805723F"/>
    <w:rsid w:val="68315DC3"/>
    <w:rsid w:val="685B6AD6"/>
    <w:rsid w:val="68AE3202"/>
    <w:rsid w:val="68F061F9"/>
    <w:rsid w:val="69653D70"/>
    <w:rsid w:val="6978259E"/>
    <w:rsid w:val="69FA2A0D"/>
    <w:rsid w:val="6A1316C5"/>
    <w:rsid w:val="6A2268B2"/>
    <w:rsid w:val="6BC32C58"/>
    <w:rsid w:val="6CDC4757"/>
    <w:rsid w:val="6CDE0263"/>
    <w:rsid w:val="6D487300"/>
    <w:rsid w:val="6E4274F3"/>
    <w:rsid w:val="6E9C549D"/>
    <w:rsid w:val="6F055365"/>
    <w:rsid w:val="6F725091"/>
    <w:rsid w:val="6FF3493B"/>
    <w:rsid w:val="70151E79"/>
    <w:rsid w:val="70524F03"/>
    <w:rsid w:val="70643056"/>
    <w:rsid w:val="74B93DC3"/>
    <w:rsid w:val="74BA710A"/>
    <w:rsid w:val="74FA2988"/>
    <w:rsid w:val="75105EF4"/>
    <w:rsid w:val="75CD2859"/>
    <w:rsid w:val="768D1CEF"/>
    <w:rsid w:val="772C0B8F"/>
    <w:rsid w:val="77357590"/>
    <w:rsid w:val="7752254D"/>
    <w:rsid w:val="7789409E"/>
    <w:rsid w:val="77A06773"/>
    <w:rsid w:val="78665092"/>
    <w:rsid w:val="78905587"/>
    <w:rsid w:val="78B9726E"/>
    <w:rsid w:val="790118AB"/>
    <w:rsid w:val="79312F05"/>
    <w:rsid w:val="79660441"/>
    <w:rsid w:val="79C77E30"/>
    <w:rsid w:val="7A7979D1"/>
    <w:rsid w:val="7C8A59F6"/>
    <w:rsid w:val="7E0B3403"/>
    <w:rsid w:val="7F376EC4"/>
    <w:rsid w:val="7F88258B"/>
    <w:rsid w:val="7FA23FD1"/>
    <w:rsid w:val="7FAE19EE"/>
    <w:rsid w:val="7FF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Verdana" w:hAnsi="Verdana"/>
      <w:szCs w:val="20"/>
    </w:rPr>
  </w:style>
  <w:style w:type="paragraph" w:styleId="3">
    <w:name w:val="annotation text"/>
    <w:basedOn w:val="1"/>
    <w:semiHidden/>
    <w:unhideWhenUsed/>
    <w:qFormat/>
    <w:uiPriority w:val="0"/>
    <w:pPr>
      <w:jc w:val="left"/>
    </w:pPr>
  </w:style>
  <w:style w:type="paragraph" w:styleId="4">
    <w:name w:val="Body Text Indent"/>
    <w:basedOn w:val="1"/>
    <w:next w:val="5"/>
    <w:qFormat/>
    <w:uiPriority w:val="0"/>
    <w:pPr>
      <w:spacing w:after="120"/>
      <w:ind w:left="420" w:leftChars="200"/>
    </w:pPr>
    <w:rPr>
      <w:rFonts w:ascii="仿宋_GB2312" w:hAnsi="Courier New" w:eastAsia="仿宋_GB2312"/>
      <w:snapToGrid w:val="0"/>
      <w:kern w:val="0"/>
      <w:sz w:val="28"/>
      <w:szCs w:val="20"/>
    </w:rPr>
  </w:style>
  <w:style w:type="paragraph" w:styleId="5">
    <w:name w:val="envelope return"/>
    <w:basedOn w:val="1"/>
    <w:qFormat/>
    <w:uiPriority w:val="0"/>
    <w:rPr>
      <w:rFonts w:ascii="Arial" w:hAnsi="Arial"/>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1"/>
    <w:next w:val="1"/>
    <w:qFormat/>
    <w:uiPriority w:val="99"/>
    <w:pPr>
      <w:ind w:firstLine="420" w:firstLineChars="200"/>
    </w:pPr>
  </w:style>
  <w:style w:type="paragraph" w:customStyle="1" w:styleId="10">
    <w:name w:val="Body Text First Indent 21"/>
    <w:basedOn w:val="1"/>
    <w:next w:val="1"/>
    <w:qFormat/>
    <w:uiPriority w:val="0"/>
    <w:pPr>
      <w:ind w:firstLine="420" w:firstLineChars="200"/>
    </w:pPr>
  </w:style>
  <w:style w:type="paragraph" w:customStyle="1" w:styleId="11">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2">
    <w:name w:val="Heading #3|1"/>
    <w:basedOn w:val="1"/>
    <w:qFormat/>
    <w:uiPriority w:val="0"/>
    <w:pPr>
      <w:widowControl w:val="0"/>
      <w:shd w:val="clear" w:color="auto" w:fill="auto"/>
      <w:spacing w:after="590" w:line="634" w:lineRule="exact"/>
      <w:jc w:val="center"/>
      <w:outlineLvl w:val="2"/>
    </w:pPr>
    <w:rPr>
      <w:rFonts w:ascii="宋体" w:hAnsi="宋体" w:eastAsia="宋体" w:cs="宋体"/>
      <w:sz w:val="42"/>
      <w:szCs w:val="42"/>
      <w:u w:val="none"/>
      <w:shd w:val="clear" w:color="auto" w:fill="auto"/>
      <w:lang w:val="zh-TW" w:eastAsia="zh-TW" w:bidi="zh-TW"/>
    </w:rPr>
  </w:style>
  <w:style w:type="paragraph" w:customStyle="1" w:styleId="13">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14">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15">
    <w:name w:val="样式1"/>
    <w:basedOn w:val="4"/>
    <w:qFormat/>
    <w:uiPriority w:val="0"/>
    <w:pPr>
      <w:widowControl/>
      <w:snapToGrid w:val="0"/>
      <w:spacing w:after="0" w:line="360" w:lineRule="auto"/>
      <w:ind w:left="0" w:leftChars="0" w:firstLine="200" w:firstLineChars="200"/>
    </w:pPr>
    <w:rPr>
      <w:rFonts w:ascii="楷体" w:hAnsi="楷体" w:eastAsia="楷体" w:cs="宋体"/>
      <w:sz w:val="24"/>
      <w:szCs w:val="24"/>
    </w:rPr>
  </w:style>
  <w:style w:type="paragraph" w:customStyle="1" w:styleId="16">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17">
    <w:name w:val="报告正文"/>
    <w:basedOn w:val="1"/>
    <w:qFormat/>
    <w:uiPriority w:val="0"/>
    <w:pPr>
      <w:adjustRightInd w:val="0"/>
      <w:snapToGrid w:val="0"/>
      <w:ind w:firstLine="560" w:firstLineChars="200"/>
    </w:pPr>
    <w:rPr>
      <w:kern w:val="0"/>
      <w:szCs w:val="20"/>
      <w:lang w:val="zh-CN"/>
    </w:rPr>
  </w:style>
  <w:style w:type="character" w:customStyle="1" w:styleId="18">
    <w:name w:val="font51"/>
    <w:basedOn w:val="9"/>
    <w:qFormat/>
    <w:uiPriority w:val="0"/>
    <w:rPr>
      <w:rFonts w:hint="eastAsia" w:ascii="仿宋" w:hAnsi="仿宋" w:eastAsia="仿宋" w:cs="仿宋"/>
      <w:b/>
      <w:bCs/>
      <w:color w:val="000000"/>
      <w:sz w:val="32"/>
      <w:szCs w:val="32"/>
      <w:u w:val="none"/>
    </w:rPr>
  </w:style>
  <w:style w:type="character" w:customStyle="1" w:styleId="19">
    <w:name w:val="font91"/>
    <w:basedOn w:val="9"/>
    <w:qFormat/>
    <w:uiPriority w:val="0"/>
    <w:rPr>
      <w:rFonts w:hint="eastAsia" w:ascii="仿宋" w:hAnsi="仿宋" w:eastAsia="仿宋" w:cs="仿宋"/>
      <w:color w:val="000000"/>
      <w:sz w:val="32"/>
      <w:szCs w:val="32"/>
      <w:u w:val="none"/>
    </w:rPr>
  </w:style>
  <w:style w:type="character" w:customStyle="1" w:styleId="20">
    <w:name w:val="font112"/>
    <w:basedOn w:val="9"/>
    <w:qFormat/>
    <w:uiPriority w:val="0"/>
    <w:rPr>
      <w:rFonts w:hint="eastAsia" w:ascii="仿宋" w:hAnsi="仿宋" w:eastAsia="仿宋" w:cs="仿宋"/>
      <w:color w:val="000000"/>
      <w:sz w:val="22"/>
      <w:szCs w:val="22"/>
      <w:u w:val="none"/>
    </w:rPr>
  </w:style>
  <w:style w:type="character" w:customStyle="1" w:styleId="21">
    <w:name w:val="font131"/>
    <w:basedOn w:val="9"/>
    <w:qFormat/>
    <w:uiPriority w:val="0"/>
    <w:rPr>
      <w:rFonts w:hint="eastAsia" w:ascii="仿宋" w:hAnsi="仿宋" w:eastAsia="仿宋" w:cs="仿宋"/>
      <w:b/>
      <w:bCs/>
      <w:color w:val="000000"/>
      <w:sz w:val="40"/>
      <w:szCs w:val="40"/>
      <w:u w:val="none"/>
    </w:rPr>
  </w:style>
  <w:style w:type="character" w:customStyle="1" w:styleId="22">
    <w:name w:val="font101"/>
    <w:basedOn w:val="9"/>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2249</Words>
  <Characters>2566</Characters>
  <Lines>0</Lines>
  <Paragraphs>0</Paragraphs>
  <TotalTime>10</TotalTime>
  <ScaleCrop>false</ScaleCrop>
  <LinksUpToDate>false</LinksUpToDate>
  <CharactersWithSpaces>2615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2020-06-15T09:42:00Z</dcterms:created>
  <dc:creator>向日葵 </dc:creator>
  <cp:lastModifiedBy>舒舒</cp:lastModifiedBy>
  <cp:lastPrinted>2020-06-22T03:44:00Z</cp:lastPrinted>
  <dcterms:modified xsi:type="dcterms:W3CDTF">2022-08-10T03:54:26Z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76F16904739A4D44B9118EFD3D4A24AE</vt:lpwstr>
  </property>
</Properties>
</file>